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120" w:after="50"/>
        <w:rPr/>
      </w:pPr>
      <w:bookmarkStart w:id="0" w:name="_heading=h.xi3izqtniddg"/>
      <w:bookmarkEnd w:id="0"/>
      <w:r>
        <w:rPr/>
        <w:t>Pismo dotyczące aktu planowania przestrzennego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50" w:after="5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Heading2"/>
        <w:ind w:firstLine="108" w:left="0" w:right="0"/>
        <w:rPr/>
      </w:pPr>
      <w:bookmarkStart w:id="1" w:name="_heading=h.qgkbsube9cqc"/>
      <w:bookmarkEnd w:id="1"/>
      <w:r>
        <w:rPr/>
        <w:t>1. ORGAN, DO KTÓREGO JEST SKŁADANE PISMO</w:t>
      </w:r>
    </w:p>
    <w:p>
      <w:pPr>
        <w:pStyle w:val="normal1"/>
        <w:rPr/>
      </w:pPr>
      <w:r>
        <w:rPr/>
        <w:t>Nazwa: …Prezydent Miasta Lublin…</w:t>
      </w:r>
    </w:p>
    <w:p>
      <w:pPr>
        <w:pStyle w:val="Heading2"/>
        <w:ind w:firstLine="108" w:left="0" w:right="0"/>
        <w:rPr/>
      </w:pPr>
      <w:bookmarkStart w:id="2" w:name="_heading=h.cpm9wmt7s4th"/>
      <w:bookmarkEnd w:id="2"/>
      <w:r>
        <w:rPr/>
        <w:t>2. RODZAJ PISMA</w:t>
      </w:r>
      <w:r>
        <w:rPr>
          <w:rStyle w:val="FootnoteReference"/>
          <w:b w:val="false"/>
          <w:vertAlign w:val="superscript"/>
        </w:rPr>
        <w:footnoteReference w:id="2"/>
      </w:r>
      <w:r>
        <w:rPr>
          <w:b w:val="false"/>
          <w:vertAlign w:val="superscript"/>
        </w:rPr>
        <w:t>)</w:t>
      </w:r>
    </w:p>
    <w:p>
      <w:pPr>
        <w:pStyle w:val="normal1"/>
        <w:tabs>
          <w:tab w:val="clear" w:pos="720"/>
          <w:tab w:val="left" w:pos="2182" w:leader="none"/>
        </w:tabs>
        <w:rPr/>
      </w:pPr>
      <w:r>
        <w:rPr>
          <w:rFonts w:eastAsia="MS Gothic" w:cs="MS Gothic" w:ascii="MS Gothic" w:hAnsi="MS Gothic"/>
        </w:rPr>
        <w:t>×</w:t>
      </w:r>
      <w:r>
        <w:rPr/>
        <w:t xml:space="preserve"> 2.1. wniosek do projektu aktu</w:t>
        <w:tab/>
        <w:tab/>
      </w:r>
      <w:r>
        <w:rPr>
          <w:rFonts w:eastAsia="MS Gothic" w:cs="MS Gothic" w:ascii="MS Gothic" w:hAnsi="MS Gothic"/>
        </w:rPr>
        <w:t>×</w:t>
      </w:r>
      <w:r>
        <w:rPr/>
        <w:t>2.2. uwaga do konsultowanego projektu aktu</w:t>
      </w:r>
      <w:r>
        <w:rPr>
          <w:rStyle w:val="FootnoteReference"/>
          <w:vertAlign w:val="superscript"/>
        </w:rPr>
        <w:footnoteReference w:id="3"/>
      </w:r>
      <w:r>
        <w:rPr>
          <w:vertAlign w:val="superscript"/>
        </w:rPr>
        <w:t>)</w:t>
      </w:r>
      <w:r>
        <w:rPr/>
        <w:tab/>
      </w:r>
    </w:p>
    <w:p>
      <w:pPr>
        <w:pStyle w:val="normal1"/>
        <w:tabs>
          <w:tab w:val="clear" w:pos="720"/>
          <w:tab w:val="left" w:pos="2182" w:leader="none"/>
        </w:tabs>
        <w:rPr/>
      </w:pPr>
      <w:bookmarkStart w:id="3" w:name="_heading=h.qwbqhruhiv61"/>
      <w:bookmarkEnd w:id="3"/>
      <w:r>
        <w:rPr>
          <w:rFonts w:eastAsia="MS Gothic" w:cs="MS Gothic" w:ascii="MS Gothic" w:hAnsi="MS Gothic"/>
        </w:rPr>
        <w:t>☐</w:t>
      </w:r>
      <w:r>
        <w:rPr/>
        <w:t xml:space="preserve"> </w:t>
      </w:r>
      <w:r>
        <w:rPr/>
        <w:t>2.3. wniosek o zmianę aktu</w:t>
      </w:r>
      <w:r>
        <w:rPr>
          <w:rStyle w:val="FootnoteReference"/>
          <w:vertAlign w:val="superscript"/>
        </w:rPr>
        <w:footnoteReference w:id="4"/>
      </w:r>
      <w:r>
        <w:rPr>
          <w:vertAlign w:val="superscript"/>
        </w:rPr>
        <w:t>)</w:t>
      </w:r>
      <w:r>
        <w:rPr/>
        <w:t xml:space="preserve"> </w:t>
        <w:tab/>
        <w:tab/>
      </w:r>
      <w:r>
        <w:rPr>
          <w:rFonts w:eastAsia="MS Gothic" w:cs="MS Gothic" w:ascii="MS Gothic" w:hAnsi="MS Gothic"/>
        </w:rPr>
        <w:t>☐</w:t>
      </w:r>
      <w:r>
        <w:rPr/>
        <w:t xml:space="preserve"> 2.4. wniosek o sporządzenie aktu</w:t>
      </w:r>
      <w:r>
        <w:rPr>
          <w:vertAlign w:val="superscript"/>
        </w:rPr>
        <w:t>3)</w:t>
      </w:r>
      <w:r>
        <w:rPr/>
        <w:tab/>
      </w:r>
    </w:p>
    <w:p>
      <w:pPr>
        <w:pStyle w:val="Heading2"/>
        <w:ind w:firstLine="108" w:left="0" w:right="0"/>
        <w:rPr/>
      </w:pPr>
      <w:r>
        <w:rPr/>
        <w:t>3. RODZAJ AKTU PLANOWANIA PRZESTRZENNEGO</w:t>
      </w:r>
      <w:r>
        <w:rPr>
          <w:b w:val="false"/>
          <w:vertAlign w:val="superscript"/>
        </w:rPr>
        <w:t>1)</w:t>
      </w:r>
    </w:p>
    <w:p>
      <w:pPr>
        <w:pStyle w:val="normal1"/>
        <w:tabs>
          <w:tab w:val="clear" w:pos="720"/>
          <w:tab w:val="left" w:pos="2182" w:leader="none"/>
        </w:tabs>
        <w:rPr/>
      </w:pPr>
      <w:bookmarkStart w:id="4" w:name="_heading=h.l5t0q6j0fal1"/>
      <w:bookmarkEnd w:id="4"/>
      <w:r>
        <w:rPr>
          <w:rFonts w:eastAsia="MS Gothic" w:cs="MS Gothic" w:ascii="MS Gothic" w:hAnsi="MS Gothic"/>
        </w:rPr>
        <w:t>☐</w:t>
      </w:r>
      <w:r>
        <w:rPr/>
        <w:t xml:space="preserve"> </w:t>
      </w:r>
      <w:r>
        <w:rPr/>
        <w:t>3.1. plan ogólny gminy</w:t>
      </w:r>
    </w:p>
    <w:p>
      <w:pPr>
        <w:pStyle w:val="normal1"/>
        <w:tabs>
          <w:tab w:val="clear" w:pos="720"/>
          <w:tab w:val="left" w:pos="2182" w:leader="none"/>
        </w:tabs>
        <w:rPr/>
      </w:pPr>
      <w:bookmarkStart w:id="5" w:name="_heading=h.emj0coi1cuuf"/>
      <w:bookmarkEnd w:id="5"/>
      <w:r>
        <w:rPr>
          <w:rFonts w:eastAsia="MS Gothic" w:cs="MS Gothic" w:ascii="MS Gothic" w:hAnsi="MS Gothic"/>
        </w:rPr>
        <w:t>×</w:t>
      </w:r>
      <w:r>
        <w:rPr/>
        <w:t xml:space="preserve"> 3.2. miejscowy plan zagospodarowania przestrzennego, w tym zintegrowany plan inwestycyjny lub miejscowy plan rewitalizacji</w:t>
      </w:r>
    </w:p>
    <w:p>
      <w:pPr>
        <w:pStyle w:val="normal1"/>
        <w:tabs>
          <w:tab w:val="clear" w:pos="720"/>
          <w:tab w:val="left" w:pos="2182" w:leader="none"/>
        </w:tabs>
        <w:rPr/>
      </w:pPr>
      <w:r>
        <w:rPr>
          <w:rFonts w:eastAsia="MS Gothic" w:cs="MS Gothic" w:ascii="MS Gothic" w:hAnsi="MS Gothic"/>
        </w:rPr>
        <w:t>☐</w:t>
      </w:r>
      <w:r>
        <w:rPr/>
        <w:t xml:space="preserve"> </w:t>
      </w:r>
      <w:r>
        <w:rPr/>
        <w:t>3.3. uchwała ustalająca zasady i warunki sytuowania obiektów małej architektury, tablic reklamowych i urządzeń reklamowych oraz ogrodzeń, ich gabaryty, standardy jakościowe oraz rodzaje materiałów budowlanych, z jakich mogą być wykonane</w:t>
      </w:r>
    </w:p>
    <w:p>
      <w:pPr>
        <w:pStyle w:val="normal1"/>
        <w:tabs>
          <w:tab w:val="clear" w:pos="720"/>
          <w:tab w:val="left" w:pos="2182" w:leader="none"/>
        </w:tabs>
        <w:rPr/>
      </w:pPr>
      <w:r>
        <w:rPr>
          <w:rFonts w:eastAsia="MS Gothic" w:cs="MS Gothic" w:ascii="MS Gothic" w:hAnsi="MS Gothic"/>
        </w:rPr>
        <w:t>☐</w:t>
      </w:r>
      <w:r>
        <w:rPr/>
        <w:t xml:space="preserve"> </w:t>
      </w:r>
      <w:r>
        <w:rPr/>
        <w:t>3.4. audyt krajobrazowy</w:t>
      </w:r>
    </w:p>
    <w:p>
      <w:pPr>
        <w:pStyle w:val="normal1"/>
        <w:tabs>
          <w:tab w:val="clear" w:pos="720"/>
          <w:tab w:val="left" w:pos="2182" w:leader="none"/>
        </w:tabs>
        <w:rPr/>
      </w:pPr>
      <w:r>
        <w:rPr>
          <w:rFonts w:eastAsia="MS Gothic" w:cs="MS Gothic" w:ascii="MS Gothic" w:hAnsi="MS Gothic"/>
        </w:rPr>
        <w:t>☐</w:t>
      </w:r>
      <w:r>
        <w:rPr/>
        <w:t xml:space="preserve"> </w:t>
      </w:r>
      <w:r>
        <w:rPr/>
        <w:t>3.5. plan zagospodarowania przestrzennego województwa</w:t>
      </w:r>
    </w:p>
    <w:p>
      <w:pPr>
        <w:pStyle w:val="Heading2"/>
        <w:ind w:hanging="0" w:left="0" w:right="0"/>
        <w:rPr>
          <w:shd w:fill="B4A7D6" w:val="clear"/>
        </w:rPr>
      </w:pPr>
      <w:bookmarkStart w:id="6" w:name="_heading=h.54i0yutb1ds0"/>
      <w:bookmarkEnd w:id="6"/>
      <w:r>
        <w:rPr/>
        <w:t>4</w:t>
      </w:r>
      <w:r>
        <w:rPr>
          <w:shd w:fill="B4A7D6" w:val="clear"/>
        </w:rPr>
        <w:t>. DANE SKŁADAJĄCEGO PISMO</w:t>
      </w:r>
      <w:r>
        <w:rPr>
          <w:rStyle w:val="FootnoteReference"/>
          <w:b w:val="false"/>
          <w:shd w:fill="B4A7D6" w:val="clear"/>
          <w:vertAlign w:val="superscript"/>
        </w:rPr>
        <w:footnoteReference w:id="5"/>
      </w:r>
      <w:r>
        <w:rPr>
          <w:b w:val="false"/>
          <w:shd w:fill="B4A7D6" w:val="clear"/>
          <w:vertAlign w:val="superscript"/>
        </w:rPr>
        <w:t>)</w:t>
      </w:r>
    </w:p>
    <w:p>
      <w:pPr>
        <w:pStyle w:val="normal1"/>
        <w:rPr/>
      </w:pPr>
      <w:bookmarkStart w:id="7" w:name="_heading=h.3e5dojl01p9o"/>
      <w:bookmarkEnd w:id="7"/>
      <w:r>
        <w:rPr>
          <w:shd w:fill="FFFF00" w:val="clear"/>
        </w:rPr>
        <w:t>Imię i nazwisko lub nazwa</w:t>
      </w:r>
      <w:r>
        <w:rPr/>
        <w:t>: ………………………………………………………………………….…………...............</w:t>
      </w:r>
    </w:p>
    <w:p>
      <w:pPr>
        <w:pStyle w:val="normal1"/>
        <w:rPr/>
      </w:pPr>
      <w:r>
        <w:rPr>
          <w:shd w:fill="FFFF00" w:val="clear"/>
        </w:rPr>
        <w:t>Kraj</w:t>
      </w:r>
      <w:r>
        <w:rPr/>
        <w:t xml:space="preserve">: ……………………………. </w:t>
      </w:r>
      <w:r>
        <w:rPr>
          <w:shd w:fill="FFFF00" w:val="clear"/>
        </w:rPr>
        <w:t>Województwo</w:t>
      </w:r>
      <w:r>
        <w:rPr/>
        <w:t>: ………………………………………………………………………...</w:t>
      </w:r>
    </w:p>
    <w:p>
      <w:pPr>
        <w:pStyle w:val="normal1"/>
        <w:rPr/>
      </w:pPr>
      <w:r>
        <w:rPr>
          <w:shd w:fill="FFFF00" w:val="clear"/>
        </w:rPr>
        <w:t>Powiat</w:t>
      </w:r>
      <w:r>
        <w:rPr/>
        <w:t xml:space="preserve">: …………………………………………… </w:t>
      </w:r>
      <w:r>
        <w:rPr>
          <w:shd w:fill="FFFF00" w:val="clear"/>
        </w:rPr>
        <w:t>Gmina</w:t>
      </w:r>
      <w:r>
        <w:rPr/>
        <w:t>: ………………………………………………………………</w:t>
      </w:r>
    </w:p>
    <w:p>
      <w:pPr>
        <w:pStyle w:val="normal1"/>
        <w:rPr/>
      </w:pPr>
      <w:bookmarkStart w:id="8" w:name="_heading=h.newhcph25mib"/>
      <w:bookmarkEnd w:id="8"/>
      <w:r>
        <w:rPr>
          <w:shd w:fill="FFFF00" w:val="clear"/>
        </w:rPr>
        <w:t>Ulica</w:t>
      </w:r>
      <w:r>
        <w:rPr/>
        <w:t xml:space="preserve">: …………………………………………………… </w:t>
      </w:r>
      <w:r>
        <w:rPr>
          <w:shd w:fill="FFFF00" w:val="clear"/>
        </w:rPr>
        <w:t>Nr domu</w:t>
      </w:r>
      <w:r>
        <w:rPr/>
        <w:t xml:space="preserve">: ……………… </w:t>
      </w:r>
      <w:r>
        <w:rPr>
          <w:shd w:fill="FFFF00" w:val="clear"/>
        </w:rPr>
        <w:t>Nr lokalu</w:t>
      </w:r>
      <w:r>
        <w:rPr/>
        <w:t>: ………….………………</w:t>
      </w:r>
    </w:p>
    <w:p>
      <w:pPr>
        <w:pStyle w:val="normal1"/>
        <w:rPr/>
      </w:pPr>
      <w:r>
        <w:rPr>
          <w:shd w:fill="FFFF00" w:val="clear"/>
        </w:rPr>
        <w:t>Miejscowość</w:t>
      </w:r>
      <w:r>
        <w:rPr/>
        <w:t xml:space="preserve">: ……………………………………………………… </w:t>
      </w:r>
      <w:r>
        <w:rPr>
          <w:shd w:fill="FFFF00" w:val="clear"/>
        </w:rPr>
        <w:t>Kod pocztowy</w:t>
      </w:r>
      <w:r>
        <w:rPr/>
        <w:t>: …………………………………….</w:t>
      </w:r>
    </w:p>
    <w:p>
      <w:pPr>
        <w:pStyle w:val="normal1"/>
        <w:rPr/>
      </w:pPr>
      <w:bookmarkStart w:id="9" w:name="_heading=h.x3hs69sexdl0"/>
      <w:bookmarkEnd w:id="9"/>
      <w:r>
        <w:rPr/>
        <w:t>E-mail (w przypadku gdy składający pismo posiada adres e-mail): ………………………………………………….</w:t>
      </w:r>
    </w:p>
    <w:p>
      <w:pPr>
        <w:pStyle w:val="normal1"/>
        <w:rPr/>
      </w:pPr>
      <w:r>
        <w:rPr/>
        <w:t>Nr tel. (nieobowiązkowo): …..………….................................................................................................................</w:t>
      </w:r>
    </w:p>
    <w:p>
      <w:pPr>
        <w:pStyle w:val="normal1"/>
        <w:rPr/>
      </w:pPr>
      <w:bookmarkStart w:id="10" w:name="_heading=h.8bl5ftx1t6ie"/>
      <w:bookmarkEnd w:id="10"/>
      <w:r>
        <w:rPr/>
        <w:t>Adres skrytki ePUAP lub adres do doręczeń elektronicznych</w:t>
      </w:r>
      <w:r>
        <w:rPr>
          <w:rStyle w:val="FootnoteReference"/>
          <w:vertAlign w:val="superscript"/>
        </w:rPr>
        <w:footnoteReference w:id="6"/>
      </w:r>
      <w:r>
        <w:rPr>
          <w:vertAlign w:val="superscript"/>
        </w:rPr>
        <w:t>)</w:t>
      </w:r>
      <w:r>
        <w:rPr/>
        <w:t>: ……………………….……………...…………......</w:t>
      </w:r>
    </w:p>
    <w:p>
      <w:pPr>
        <w:pStyle w:val="normal1"/>
        <w:rPr/>
      </w:pPr>
      <w:r>
        <w:rPr/>
        <w:t>4.1. Czy składający pismo jest właścicielem lub użytkownikiem wieczystym nieruchomości objętej wnioskiem lub uwagą?</w:t>
      </w:r>
    </w:p>
    <w:p>
      <w:pPr>
        <w:pStyle w:val="normal1"/>
        <w:rPr/>
      </w:pPr>
      <w:r>
        <w:rPr>
          <w:rFonts w:eastAsia="MS Gothic" w:cs="MS Gothic" w:ascii="MS Gothic" w:hAnsi="MS Gothic"/>
        </w:rPr>
        <w:t>☐</w:t>
      </w:r>
      <w:r>
        <w:rPr/>
        <w:t xml:space="preserve"> </w:t>
      </w:r>
      <w:r>
        <w:rPr>
          <w:sz w:val="16"/>
          <w:szCs w:val="16"/>
        </w:rPr>
        <w:t xml:space="preserve">tak   </w:t>
      </w:r>
      <w:r>
        <w:rPr/>
        <w:t xml:space="preserve">    </w:t>
      </w:r>
      <w:r>
        <w:rPr>
          <w:rFonts w:eastAsia="MS Gothic" w:cs="MS Gothic" w:ascii="MS Gothic" w:hAnsi="MS Gothic"/>
        </w:rPr>
        <w:t>×</w:t>
      </w:r>
      <w:r>
        <w:rPr/>
        <w:t xml:space="preserve"> </w:t>
      </w:r>
      <w:r>
        <w:rPr>
          <w:sz w:val="16"/>
          <w:szCs w:val="16"/>
        </w:rPr>
        <w:t>nie</w:t>
      </w:r>
    </w:p>
    <w:p>
      <w:pPr>
        <w:pStyle w:val="Heading2"/>
        <w:ind w:firstLine="108" w:left="0" w:right="0"/>
        <w:rPr>
          <w:shd w:fill="8E7CC3" w:val="clear"/>
        </w:rPr>
      </w:pPr>
      <w:r>
        <w:rPr/>
        <w:t xml:space="preserve">5. </w:t>
      </w:r>
      <w:r>
        <w:rPr>
          <w:shd w:fill="8E7CC3" w:val="clear"/>
        </w:rPr>
        <w:t>ADRES DO KORESPONDENCJI SKŁADAJĄCEGO PISMO</w:t>
      </w:r>
      <w:r>
        <w:rPr>
          <w:b w:val="false"/>
          <w:shd w:fill="8E7CC3" w:val="clear"/>
          <w:vertAlign w:val="superscript"/>
        </w:rPr>
        <w:t>4)</w:t>
      </w:r>
    </w:p>
    <w:p>
      <w:pPr>
        <w:pStyle w:val="normal1"/>
        <w:rPr/>
      </w:pPr>
      <w:r>
        <w:rPr/>
        <w:t>(Nieobowiązkowo)</w:t>
      </w:r>
    </w:p>
    <w:p>
      <w:pPr>
        <w:pStyle w:val="normal1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1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1"/>
        <w:rPr/>
      </w:pPr>
      <w:r>
        <w:rPr/>
        <w:t>Ulica: ………………………………………………………… Nr domu: …… Nr lokalu: ……………………................</w:t>
      </w:r>
    </w:p>
    <w:p>
      <w:pPr>
        <w:pStyle w:val="normal1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Heading2"/>
        <w:ind w:firstLine="108" w:left="0" w:right="0"/>
        <w:rPr/>
      </w:pPr>
      <w:bookmarkStart w:id="11" w:name="_heading=h.l2rfzncwtf93"/>
      <w:bookmarkEnd w:id="11"/>
      <w:r>
        <w:rPr/>
        <w:t>6. DANE PEŁNOMOCNIKA</w:t>
      </w:r>
      <w:r>
        <w:rPr>
          <w:b w:val="false"/>
          <w:vertAlign w:val="superscript"/>
        </w:rPr>
        <w:t>4)</w:t>
      </w:r>
    </w:p>
    <w:p>
      <w:pPr>
        <w:pStyle w:val="normal1"/>
        <w:rPr/>
      </w:pPr>
      <w:r>
        <w:rPr/>
        <w:t>(Nieobowiązkowo)</w:t>
      </w:r>
    </w:p>
    <w:p>
      <w:pPr>
        <w:pStyle w:val="normal1"/>
        <w:tabs>
          <w:tab w:val="clear" w:pos="720"/>
          <w:tab w:val="left" w:pos="2182" w:leader="none"/>
        </w:tabs>
        <w:rPr/>
      </w:pPr>
      <w:r>
        <w:rPr>
          <w:rFonts w:eastAsia="MS Gothic" w:cs="MS Gothic" w:ascii="MS Gothic" w:hAnsi="MS Gothic"/>
        </w:rPr>
        <w:t>☐</w:t>
      </w:r>
      <w:r>
        <w:rPr/>
        <w:t xml:space="preserve">  </w:t>
      </w:r>
      <w:r>
        <w:rPr/>
        <w:t xml:space="preserve">pełnomocnik      </w:t>
      </w:r>
      <w:r>
        <w:rPr>
          <w:rFonts w:eastAsia="MS Gothic" w:cs="MS Gothic" w:ascii="MS Gothic" w:hAnsi="MS Gothic"/>
        </w:rPr>
        <w:t>☐</w:t>
      </w:r>
      <w:r>
        <w:rPr/>
        <w:t xml:space="preserve">  pełnomocnik do doręczeń</w:t>
      </w:r>
    </w:p>
    <w:p>
      <w:pPr>
        <w:pStyle w:val="normal1"/>
        <w:rPr/>
      </w:pPr>
      <w:bookmarkStart w:id="12" w:name="_heading=h.4q99j17978es"/>
      <w:bookmarkEnd w:id="12"/>
      <w:r>
        <w:rPr/>
        <w:t>Imię i nazwisko: ……………………………………………………………………………………………...……………..</w:t>
      </w:r>
    </w:p>
    <w:p>
      <w:pPr>
        <w:pStyle w:val="normal1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1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1"/>
        <w:rPr/>
      </w:pPr>
      <w:r>
        <w:rPr/>
        <w:t>Ulica: ………………………………………………………… Nr domu: …… Nr lokalu: ……………………................</w:t>
      </w:r>
    </w:p>
    <w:p>
      <w:pPr>
        <w:pStyle w:val="normal1"/>
        <w:rPr/>
      </w:pPr>
      <w:r>
        <w:rPr/>
        <w:t xml:space="preserve">Miejscowość: ……………………………………………………. Kod pocztowy:...…………………………………….. </w:t>
      </w:r>
    </w:p>
    <w:p>
      <w:pPr>
        <w:pStyle w:val="normal1"/>
        <w:jc w:val="both"/>
        <w:rPr/>
      </w:pPr>
      <w:r>
        <w:rPr/>
        <w:t xml:space="preserve">E-mail (w przypadku gdy pełnomocnik posiada adres e-mail): ………………………………………………………. </w:t>
      </w:r>
    </w:p>
    <w:p>
      <w:pPr>
        <w:pStyle w:val="normal1"/>
        <w:jc w:val="both"/>
        <w:rPr/>
      </w:pPr>
      <w:r>
        <w:rPr/>
        <w:t>Nr tel. (nieobowiązkowo): .………………..…………...............................................................................................</w:t>
      </w:r>
    </w:p>
    <w:p>
      <w:pPr>
        <w:pStyle w:val="normal1"/>
        <w:rPr>
          <w:sz w:val="24"/>
          <w:szCs w:val="24"/>
        </w:rPr>
      </w:pPr>
      <w:r>
        <w:rPr/>
        <w:t>Adres skrytki ePUAP lub adres do doręczeń elektronicznych</w:t>
      </w:r>
      <w:r>
        <w:rPr>
          <w:vertAlign w:val="superscript"/>
        </w:rPr>
        <w:t>5)</w:t>
      </w:r>
      <w:r>
        <w:rPr/>
        <w:t>: …………………………….……………...………...</w:t>
      </w:r>
    </w:p>
    <w:p>
      <w:pPr>
        <w:pStyle w:val="Heading2"/>
        <w:spacing w:lineRule="auto" w:line="240" w:before="240" w:after="60"/>
        <w:ind w:hanging="0" w:left="0" w:right="0"/>
        <w:rPr/>
      </w:pPr>
      <w:r>
        <w:rPr/>
        <w:t>7. TREŚĆ PISMA</w:t>
      </w:r>
    </w:p>
    <w:p>
      <w:pPr>
        <w:pStyle w:val="normal1"/>
        <w:rPr/>
      </w:pPr>
      <w:r>
        <w:rPr/>
        <w:t>7.1. Treść</w:t>
      </w:r>
      <w:r>
        <w:rPr>
          <w:rStyle w:val="FootnoteReference"/>
          <w:vertAlign w:val="superscript"/>
        </w:rPr>
        <w:footnoteReference w:id="7"/>
      </w:r>
      <w:r>
        <w:rPr/>
        <w:t xml:space="preserve">. </w:t>
      </w:r>
    </w:p>
    <w:p>
      <w:pPr>
        <w:pStyle w:val="normal1"/>
        <w:rPr/>
      </w:pPr>
      <w:r>
        <w:rPr/>
        <w:t>Treść pisma znajduje się w załączniku nr 1.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</w:t>
      </w:r>
    </w:p>
    <w:p>
      <w:pPr>
        <w:pStyle w:val="normal1"/>
        <w:widowControl/>
        <w:spacing w:lineRule="auto" w:line="276" w:before="120" w:after="60"/>
        <w:rPr/>
      </w:pPr>
      <w:r>
        <w:rPr/>
        <w:t>7.2. (Nieobowiązkowo) W przypadku wypełnienia, należy uzupełnić każdą z kolumn tabeli.</w:t>
      </w:r>
    </w:p>
    <w:p>
      <w:pPr>
        <w:pStyle w:val="normal1"/>
        <w:widowControl/>
        <w:spacing w:lineRule="auto" w:line="276" w:before="120" w:after="60"/>
        <w:ind w:hanging="0" w:left="142"/>
        <w:rPr/>
      </w:pPr>
      <w:r>
        <w:rPr/>
        <w:t>Szczegółowe informacje dotyczące treści pisma w odniesieniu do działek ewidencyjnych:</w:t>
      </w:r>
    </w:p>
    <w:tbl>
      <w:tblPr>
        <w:tblStyle w:val="Table1"/>
        <w:tblW w:w="99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52"/>
        <w:gridCol w:w="1418"/>
        <w:gridCol w:w="1419"/>
        <w:gridCol w:w="1558"/>
        <w:gridCol w:w="5105"/>
      </w:tblGrid>
      <w:tr>
        <w:trPr>
          <w:tblHeader w:val="true"/>
          <w:trHeight w:val="234" w:hRule="atLeast"/>
        </w:trPr>
        <w:tc>
          <w:tcPr>
            <w:tcW w:w="452" w:type="dxa"/>
            <w:tcBorders>
              <w:top w:val="single" w:sz="4" w:space="0" w:color="7F7F7F"/>
              <w:left w:val="single" w:sz="32" w:space="0" w:color="7F7F7F"/>
              <w:bottom w:val="single" w:sz="4" w:space="0" w:color="000000"/>
              <w:right w:val="single" w:sz="4" w:space="0" w:color="7F7F7F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7.2.1. Nazwa aktu planowania przestrzennego</w:t>
            </w:r>
          </w:p>
        </w:tc>
        <w:tc>
          <w:tcPr>
            <w:tcW w:w="1419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7.2.2. Identyfikator działki lub działek ewidencyjnych</w:t>
            </w:r>
          </w:p>
        </w:tc>
        <w:tc>
          <w:tcPr>
            <w:tcW w:w="1558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7.2.3. Czy teren objęty pismem obejmuje całość działki lub działek ewidencyjnych</w:t>
            </w:r>
            <w:r>
              <w:rPr>
                <w:rStyle w:val="FootnoteReference"/>
                <w:sz w:val="16"/>
                <w:szCs w:val="16"/>
                <w:vertAlign w:val="superscript"/>
              </w:rPr>
              <w:footnoteReference w:id="8"/>
            </w:r>
            <w:r>
              <w:rPr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5105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7.2.4. Treść</w:t>
            </w:r>
            <w:r>
              <w:rPr>
                <w:vertAlign w:val="superscript"/>
              </w:rPr>
              <w:t>6)</w:t>
            </w:r>
          </w:p>
        </w:tc>
      </w:tr>
      <w:tr>
        <w:trPr/>
        <w:tc>
          <w:tcPr>
            <w:tcW w:w="452" w:type="dxa"/>
            <w:tcBorders>
              <w:top w:val="single" w:sz="4" w:space="0" w:color="000000"/>
              <w:left w:val="single" w:sz="32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normal1"/>
              <w:spacing w:lineRule="auto" w:line="240" w:before="0" w:after="0"/>
              <w:ind w:hanging="505" w:left="5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normal1"/>
              <w:spacing w:lineRule="auto" w:line="240" w:before="0" w:after="0"/>
              <w:rPr/>
            </w:pPr>
            <w:r>
              <w:rPr/>
              <w:t>…………………………………………………………</w:t>
            </w:r>
            <w:r>
              <w:rPr/>
              <w:t>.…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/>
              <w:t>………………………………</w:t>
            </w:r>
          </w:p>
          <w:p>
            <w:pPr>
              <w:pStyle w:val="normal1"/>
              <w:spacing w:lineRule="auto" w:line="240" w:before="0" w:after="0"/>
              <w:jc w:val="center"/>
              <w:rPr>
                <w:rFonts w:ascii="MS Gothic" w:hAnsi="MS Gothic" w:eastAsia="MS Gothic" w:cs="MS Gothic"/>
                <w:sz w:val="14"/>
                <w:szCs w:val="14"/>
              </w:rPr>
            </w:pPr>
            <w:r>
              <w:rPr/>
              <w:t>………………………………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>
                <w:rFonts w:eastAsia="MS Gothic" w:cs="MS Gothic" w:ascii="MS Gothic" w:hAnsi="MS Gothic"/>
              </w:rPr>
              <w:t>☐</w:t>
            </w:r>
            <w:r>
              <w:rPr/>
              <w:t xml:space="preserve"> </w:t>
            </w:r>
            <w:r>
              <w:rPr>
                <w:sz w:val="16"/>
                <w:szCs w:val="16"/>
              </w:rPr>
              <w:t>tak</w:t>
            </w:r>
          </w:p>
          <w:p>
            <w:pPr>
              <w:pStyle w:val="normal1"/>
              <w:spacing w:lineRule="auto" w:line="240" w:before="0" w:after="0"/>
              <w:jc w:val="center"/>
              <w:rPr>
                <w:rFonts w:ascii="MS Gothic" w:hAnsi="MS Gothic" w:eastAsia="MS Gothic" w:cs="MS Gothic"/>
                <w:sz w:val="14"/>
                <w:szCs w:val="14"/>
              </w:rPr>
            </w:pPr>
            <w:r>
              <w:rPr>
                <w:rFonts w:eastAsia="MS Gothic" w:cs="MS Gothic" w:ascii="MS Gothic" w:hAnsi="MS Gothic"/>
              </w:rPr>
              <w:t>☐</w:t>
            </w:r>
            <w:r>
              <w:rPr/>
              <w:t xml:space="preserve"> </w:t>
            </w:r>
            <w:r>
              <w:rPr>
                <w:sz w:val="16"/>
                <w:szCs w:val="16"/>
              </w:rPr>
              <w:t>nie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normal1"/>
              <w:spacing w:lineRule="auto" w:line="240" w:before="0" w:after="0"/>
              <w:rPr/>
            </w:pPr>
            <w:r>
              <w:rPr/>
              <w:t>…………………………………………………………</w:t>
            </w:r>
            <w:r>
              <w:rPr/>
              <w:t>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>
      <w:pPr>
        <w:pStyle w:val="normal1"/>
        <w:spacing w:lineRule="auto" w:line="240" w:before="120" w:after="0"/>
        <w:ind w:hanging="431" w:left="431"/>
        <w:jc w:val="both"/>
        <w:rPr/>
      </w:pPr>
      <w:r>
        <w:rPr/>
        <w:t>7.3. (Nieobowiązkowo) W przypadku wypełnienia, należy uzupełnić każdą z kolumn tabeli.</w:t>
      </w:r>
    </w:p>
    <w:p>
      <w:pPr>
        <w:pStyle w:val="normal1"/>
        <w:spacing w:lineRule="auto" w:line="240" w:before="120" w:after="60"/>
        <w:ind w:hanging="5" w:left="142"/>
        <w:jc w:val="both"/>
        <w:rPr/>
      </w:pPr>
      <w:bookmarkStart w:id="13" w:name="_heading=h.vd4qqqqp0ltu"/>
      <w:bookmarkEnd w:id="13"/>
      <w:r>
        <w:rPr/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</w:p>
    <w:tbl>
      <w:tblPr>
        <w:tblStyle w:val="Table2"/>
        <w:tblW w:w="99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52"/>
        <w:gridCol w:w="1562"/>
        <w:gridCol w:w="1417"/>
        <w:gridCol w:w="1277"/>
        <w:gridCol w:w="1418"/>
        <w:gridCol w:w="1276"/>
        <w:gridCol w:w="1276"/>
        <w:gridCol w:w="1272"/>
      </w:tblGrid>
      <w:tr>
        <w:trPr>
          <w:tblHeader w:val="true"/>
          <w:trHeight w:val="234" w:hRule="atLeast"/>
        </w:trPr>
        <w:tc>
          <w:tcPr>
            <w:tcW w:w="452" w:type="dxa"/>
            <w:tcBorders>
              <w:top w:val="single" w:sz="4" w:space="0" w:color="7F7F7F"/>
              <w:left w:val="single" w:sz="32" w:space="0" w:color="7F7F7F"/>
              <w:bottom w:val="single" w:sz="4" w:space="0" w:color="000000"/>
              <w:right w:val="single" w:sz="4" w:space="0" w:color="7F7F7F"/>
            </w:tcBorders>
            <w:vAlign w:val="center"/>
          </w:tcPr>
          <w:p>
            <w:pPr>
              <w:pStyle w:val="normal1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1562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</w:tcPr>
          <w:p>
            <w:pPr>
              <w:pStyle w:val="normal1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7.3.1. Nazwa planu ogólnego gminy lub miejscowego planu zagospodarowania przestrzennego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</w:tcPr>
          <w:p>
            <w:pPr>
              <w:pStyle w:val="normal1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7.3.2.</w:t>
            </w:r>
          </w:p>
          <w:p>
            <w:pPr>
              <w:pStyle w:val="normal1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</w:tcPr>
          <w:p>
            <w:pPr>
              <w:pStyle w:val="normal1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7.3.3. Czy teren objęty pismem obejmuje całość działki lub działek ewidencyjnych</w:t>
            </w:r>
            <w:r>
              <w:rPr>
                <w:vertAlign w:val="superscript"/>
              </w:rPr>
              <w:t>7)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</w:tcPr>
          <w:p>
            <w:pPr>
              <w:pStyle w:val="normal1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7.3.4. Nazwa lub nazwy klasy przeznaczenia terenu (albo symbol lub symbole klasy przeznaczenia terenu)</w:t>
            </w:r>
            <w:r>
              <w:rPr>
                <w:rStyle w:val="FootnoteReference"/>
                <w:vertAlign w:val="superscript"/>
              </w:rPr>
              <w:footnoteReference w:id="9"/>
            </w:r>
            <w:r>
              <w:rPr>
                <w:vertAlign w:val="superscript"/>
              </w:rPr>
              <w:t>)</w:t>
            </w:r>
          </w:p>
          <w:p>
            <w:pPr>
              <w:pStyle w:val="normal1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</w:tcPr>
          <w:p>
            <w:pPr>
              <w:pStyle w:val="normal1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7.3.5. Maksymalny udział powierzchni   zabudowy [%]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</w:tcPr>
          <w:p>
            <w:pPr>
              <w:pStyle w:val="normal1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7.3.6. Maksymalna wysokość zabudowy [m]</w:t>
            </w:r>
          </w:p>
        </w:tc>
        <w:tc>
          <w:tcPr>
            <w:tcW w:w="1272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</w:tcPr>
          <w:p>
            <w:pPr>
              <w:pStyle w:val="normal1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7.3.7.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Minimalny udział powierzchni biologicznie czynnej [%]</w:t>
            </w:r>
          </w:p>
        </w:tc>
      </w:tr>
      <w:tr>
        <w:trPr/>
        <w:tc>
          <w:tcPr>
            <w:tcW w:w="452" w:type="dxa"/>
            <w:tcBorders>
              <w:top w:val="single" w:sz="4" w:space="0" w:color="000000"/>
              <w:left w:val="single" w:sz="32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normal1"/>
              <w:spacing w:lineRule="auto" w:line="240" w:before="0" w:after="0"/>
              <w:ind w:hanging="505" w:left="5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normal1"/>
              <w:spacing w:before="50" w:after="50"/>
              <w:rPr>
                <w:rFonts w:ascii="MS Gothic" w:hAnsi="MS Gothic" w:eastAsia="MS Gothic" w:cs="MS Gothic"/>
                <w:sz w:val="14"/>
                <w:szCs w:val="14"/>
              </w:rPr>
            </w:pPr>
            <w:r>
              <w:rPr/>
              <w:t>………………………………………………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normal1"/>
              <w:spacing w:before="50" w:after="50"/>
              <w:jc w:val="center"/>
              <w:rPr>
                <w:rFonts w:ascii="MS Gothic" w:hAnsi="MS Gothic" w:eastAsia="MS Gothic" w:cs="MS Gothic"/>
                <w:sz w:val="14"/>
                <w:szCs w:val="14"/>
              </w:rPr>
            </w:pPr>
            <w:r>
              <w:rPr/>
              <w:t>………………………………………………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normal1"/>
              <w:spacing w:before="50" w:after="50"/>
              <w:jc w:val="center"/>
              <w:rPr/>
            </w:pPr>
            <w:r>
              <w:rPr>
                <w:rFonts w:eastAsia="MS Gothic" w:cs="MS Gothic" w:ascii="MS Gothic" w:hAnsi="MS Gothic"/>
              </w:rPr>
              <w:t>☐</w:t>
            </w:r>
            <w:r>
              <w:rPr/>
              <w:t xml:space="preserve"> </w:t>
            </w:r>
            <w:r>
              <w:rPr>
                <w:sz w:val="16"/>
                <w:szCs w:val="16"/>
              </w:rPr>
              <w:t>tak</w:t>
            </w:r>
          </w:p>
          <w:p>
            <w:pPr>
              <w:pStyle w:val="normal1"/>
              <w:spacing w:before="50" w:after="50"/>
              <w:jc w:val="center"/>
              <w:rPr>
                <w:rFonts w:ascii="MS Gothic" w:hAnsi="MS Gothic" w:eastAsia="MS Gothic" w:cs="MS Gothic"/>
                <w:sz w:val="14"/>
                <w:szCs w:val="14"/>
              </w:rPr>
            </w:pPr>
            <w:r>
              <w:rPr>
                <w:rFonts w:eastAsia="MS Gothic" w:cs="MS Gothic" w:ascii="MS Gothic" w:hAnsi="MS Gothic"/>
              </w:rPr>
              <w:t>☐</w:t>
            </w:r>
            <w:r>
              <w:rPr/>
              <w:t xml:space="preserve"> </w:t>
            </w:r>
            <w:r>
              <w:rPr>
                <w:sz w:val="16"/>
                <w:szCs w:val="16"/>
              </w:rPr>
              <w:t>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normal1"/>
              <w:spacing w:before="50" w:after="50"/>
              <w:jc w:val="center"/>
              <w:rPr>
                <w:rFonts w:ascii="MS Gothic" w:hAnsi="MS Gothic" w:eastAsia="MS Gothic" w:cs="MS Gothic"/>
                <w:sz w:val="14"/>
                <w:szCs w:val="14"/>
              </w:rPr>
            </w:pPr>
            <w:r>
              <w:rPr/>
              <w:t>………………………………………………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normal1"/>
              <w:spacing w:before="50" w:after="50"/>
              <w:jc w:val="center"/>
              <w:rPr>
                <w:rFonts w:ascii="MS Gothic" w:hAnsi="MS Gothic" w:eastAsia="MS Gothic" w:cs="MS Gothic"/>
                <w:sz w:val="14"/>
                <w:szCs w:val="14"/>
              </w:rPr>
            </w:pPr>
            <w:r>
              <w:rPr/>
              <w:t>………………………………………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normal1"/>
              <w:spacing w:before="50" w:after="50"/>
              <w:jc w:val="center"/>
              <w:rPr>
                <w:rFonts w:ascii="MS Gothic" w:hAnsi="MS Gothic" w:eastAsia="MS Gothic" w:cs="MS Gothic"/>
                <w:sz w:val="14"/>
                <w:szCs w:val="14"/>
              </w:rPr>
            </w:pPr>
            <w:r>
              <w:rPr/>
              <w:t>………………………………………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normal1"/>
              <w:spacing w:before="50" w:after="50"/>
              <w:jc w:val="center"/>
              <w:rPr>
                <w:rFonts w:ascii="MS Gothic" w:hAnsi="MS Gothic" w:eastAsia="MS Gothic" w:cs="MS Gothic"/>
                <w:sz w:val="14"/>
                <w:szCs w:val="14"/>
              </w:rPr>
            </w:pPr>
            <w:r>
              <w:rPr/>
              <w:t>………………………………………</w:t>
            </w:r>
          </w:p>
        </w:tc>
      </w:tr>
    </w:tbl>
    <w:p>
      <w:pPr>
        <w:pStyle w:val="normal1"/>
        <w:spacing w:lineRule="auto" w:line="240" w:before="120" w:after="60"/>
        <w:rPr/>
      </w:pPr>
      <w:r>
        <w:rPr/>
      </w:r>
      <w:bookmarkStart w:id="14" w:name="_heading=h.rt4mub6p1js8"/>
      <w:bookmarkStart w:id="15" w:name="_heading=h.rt4mub6p1js8"/>
      <w:bookmarkEnd w:id="15"/>
    </w:p>
    <w:p>
      <w:pPr>
        <w:pStyle w:val="Heading2"/>
        <w:ind w:firstLine="108" w:left="0" w:right="0"/>
        <w:rPr/>
      </w:pPr>
      <w:r>
        <w:rPr/>
        <w:t>8. OŚWIADCZENIE W SPRAWIE KORESPONDENCJI ELEKTRONICZNEJ</w:t>
      </w:r>
    </w:p>
    <w:tbl>
      <w:tblPr>
        <w:tblStyle w:val="Table3"/>
        <w:tblW w:w="51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25"/>
        <w:gridCol w:w="2268"/>
        <w:gridCol w:w="425"/>
        <w:gridCol w:w="1984"/>
      </w:tblGrid>
      <w:tr>
        <w:trPr/>
        <w:tc>
          <w:tcPr>
            <w:tcW w:w="425" w:type="dxa"/>
            <w:tcBorders/>
          </w:tcPr>
          <w:p>
            <w:pPr>
              <w:pStyle w:val="normal1"/>
              <w:tabs>
                <w:tab w:val="clear" w:pos="720"/>
                <w:tab w:val="left" w:pos="2182" w:leader="none"/>
              </w:tabs>
              <w:spacing w:before="50" w:after="50"/>
              <w:rPr/>
            </w:pPr>
            <w:bookmarkStart w:id="16" w:name="_heading=h.emj0coi1cuuf_kopia_1"/>
            <w:bookmarkEnd w:id="16"/>
            <w:r>
              <w:rPr>
                <w:rFonts w:eastAsia="MS Gothic" w:cs="MS Gothic" w:ascii="MS Gothic" w:hAnsi="MS Gothic"/>
              </w:rPr>
              <w:t>×</w:t>
            </w:r>
          </w:p>
        </w:tc>
        <w:tc>
          <w:tcPr>
            <w:tcW w:w="2268" w:type="dxa"/>
            <w:tcBorders/>
          </w:tcPr>
          <w:p>
            <w:pPr>
              <w:pStyle w:val="normal1"/>
              <w:widowControl w:val="false"/>
              <w:bidi w:val="0"/>
              <w:spacing w:lineRule="auto" w:line="240" w:before="50" w:after="50"/>
              <w:jc w:val="left"/>
              <w:rPr/>
            </w:pPr>
            <w:r>
              <w:rPr/>
              <w:t>Wyrażam zgodę</w:t>
            </w:r>
          </w:p>
        </w:tc>
        <w:tc>
          <w:tcPr>
            <w:tcW w:w="425" w:type="dxa"/>
            <w:tcBorders/>
          </w:tcPr>
          <w:p>
            <w:pPr>
              <w:pStyle w:val="normal1"/>
              <w:widowControl w:val="false"/>
              <w:bidi w:val="0"/>
              <w:spacing w:lineRule="auto" w:line="240" w:before="50" w:after="50"/>
              <w:jc w:val="left"/>
              <w:rPr/>
            </w:pPr>
            <w:r>
              <w:rPr>
                <w:rFonts w:eastAsia="MS Gothic" w:cs="MS Gothic" w:ascii="MS Gothic" w:hAnsi="MS Gothic"/>
              </w:rPr>
              <w:t>☐</w:t>
            </w:r>
          </w:p>
        </w:tc>
        <w:tc>
          <w:tcPr>
            <w:tcW w:w="1984" w:type="dxa"/>
            <w:tcBorders/>
          </w:tcPr>
          <w:p>
            <w:pPr>
              <w:pStyle w:val="normal1"/>
              <w:widowControl w:val="false"/>
              <w:bidi w:val="0"/>
              <w:spacing w:lineRule="auto" w:line="240" w:before="50" w:after="50"/>
              <w:jc w:val="left"/>
              <w:rPr/>
            </w:pPr>
            <w:r>
              <w:rPr/>
              <w:t>Nie wyrażam zgody</w:t>
            </w:r>
          </w:p>
        </w:tc>
      </w:tr>
    </w:tbl>
    <w:p>
      <w:pPr>
        <w:pStyle w:val="normal1"/>
        <w:jc w:val="both"/>
        <w:rPr/>
      </w:pPr>
      <w:r>
        <w:rPr/>
        <w:t>na doręczanie korespondencji w niniejszej sprawie za pomocą środków komunikacji elektronicznej w rozumieniu art. 2 pkt 5 ustawy z dnia 18 lipca 2002 r. o świadczeniu usług drogą elektroniczną (Dz. U. z 2020 r. poz. 344).</w:t>
      </w:r>
    </w:p>
    <w:p>
      <w:pPr>
        <w:pStyle w:val="Heading3"/>
        <w:ind w:firstLine="108" w:left="0" w:right="0"/>
        <w:rPr>
          <w:b/>
          <w:sz w:val="24"/>
          <w:szCs w:val="24"/>
        </w:rPr>
      </w:pPr>
      <w:r>
        <w:rPr>
          <w:b/>
          <w:sz w:val="24"/>
          <w:szCs w:val="24"/>
        </w:rPr>
        <w:t>9. ZAŁĄCZNIKI</w:t>
      </w:r>
    </w:p>
    <w:tbl>
      <w:tblPr>
        <w:tblStyle w:val="Table4"/>
        <w:tblW w:w="963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15"/>
        <w:gridCol w:w="9222"/>
      </w:tblGrid>
      <w:tr>
        <w:trPr/>
        <w:tc>
          <w:tcPr>
            <w:tcW w:w="415" w:type="dxa"/>
            <w:tcBorders/>
          </w:tcPr>
          <w:p>
            <w:pPr>
              <w:pStyle w:val="normal1"/>
              <w:spacing w:before="50" w:after="50"/>
              <w:rPr>
                <w:sz w:val="16"/>
                <w:szCs w:val="16"/>
              </w:rPr>
            </w:pPr>
            <w:r>
              <w:rPr>
                <w:rFonts w:eastAsia="MS Gothic" w:cs="MS Gothic" w:ascii="MS Gothic" w:hAnsi="MS Gothic"/>
                <w:sz w:val="16"/>
                <w:szCs w:val="16"/>
              </w:rPr>
              <w:t>☐</w:t>
            </w:r>
          </w:p>
        </w:tc>
        <w:tc>
          <w:tcPr>
            <w:tcW w:w="9222" w:type="dxa"/>
            <w:tcBorders/>
          </w:tcPr>
          <w:p>
            <w:pPr>
              <w:pStyle w:val="normal1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Pełnomocnictwo do reprezentowania składającego pismo lub pełnomocnictwo do doręczeń (zgodnie z ustawą z dnia 16 listopada 2006 r. o opłacie skarbowej (Dz. U. z 2023 r. poz. 2111)) – jeżeli składający pismo działa przez pełnomocnika.</w:t>
            </w:r>
          </w:p>
        </w:tc>
      </w:tr>
      <w:tr>
        <w:trPr/>
        <w:tc>
          <w:tcPr>
            <w:tcW w:w="415" w:type="dxa"/>
            <w:tcBorders/>
          </w:tcPr>
          <w:p>
            <w:pPr>
              <w:pStyle w:val="normal1"/>
              <w:spacing w:before="50" w:after="50"/>
              <w:rPr>
                <w:sz w:val="16"/>
                <w:szCs w:val="16"/>
              </w:rPr>
            </w:pPr>
            <w:r>
              <w:rPr>
                <w:rFonts w:eastAsia="MS Gothic" w:cs="MS Gothic" w:ascii="MS Gothic" w:hAnsi="MS Gothic"/>
                <w:sz w:val="16"/>
                <w:szCs w:val="16"/>
              </w:rPr>
              <w:t>☐</w:t>
            </w:r>
          </w:p>
        </w:tc>
        <w:tc>
          <w:tcPr>
            <w:tcW w:w="9222" w:type="dxa"/>
            <w:tcBorders/>
          </w:tcPr>
          <w:p>
            <w:pPr>
              <w:pStyle w:val="normal1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Potwierdzenie uiszczenia opłaty skarbowej od pełnomocnictwa – jeżeli obowiązek uiszczenia takiej opłaty wynika z ustawy z dnia 16 listopada 2006 r. o opłacie skarbowej.</w:t>
            </w:r>
          </w:p>
        </w:tc>
      </w:tr>
      <w:tr>
        <w:trPr/>
        <w:tc>
          <w:tcPr>
            <w:tcW w:w="415" w:type="dxa"/>
            <w:tcBorders/>
          </w:tcPr>
          <w:p>
            <w:pPr>
              <w:pStyle w:val="normal1"/>
              <w:widowControl w:val="false"/>
              <w:bidi w:val="0"/>
              <w:spacing w:lineRule="auto" w:line="240" w:before="50" w:after="50"/>
              <w:jc w:val="left"/>
              <w:rPr/>
            </w:pPr>
            <w:r>
              <w:rPr>
                <w:rFonts w:eastAsia="MS Gothic" w:cs="MS Gothic" w:ascii="MS Gothic" w:hAnsi="MS Gothic"/>
                <w:sz w:val="16"/>
                <w:szCs w:val="16"/>
              </w:rPr>
              <w:t>☐</w:t>
            </w:r>
          </w:p>
        </w:tc>
        <w:tc>
          <w:tcPr>
            <w:tcW w:w="9222" w:type="dxa"/>
            <w:tcBorders/>
          </w:tcPr>
          <w:p>
            <w:pPr>
              <w:pStyle w:val="normal1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(Nieobowiązkowo). Określenie granic terenu w formie graficznej w przypadku wskazania terenu objętego pismem jako części działki ewidencyjnej lub działek ewidencyjnych.</w:t>
            </w:r>
          </w:p>
        </w:tc>
      </w:tr>
      <w:tr>
        <w:trPr/>
        <w:tc>
          <w:tcPr>
            <w:tcW w:w="415" w:type="dxa"/>
            <w:tcBorders/>
          </w:tcPr>
          <w:p>
            <w:pPr>
              <w:pStyle w:val="normal1"/>
              <w:spacing w:before="50" w:after="50"/>
              <w:rPr>
                <w:sz w:val="16"/>
                <w:szCs w:val="16"/>
              </w:rPr>
            </w:pPr>
            <w:r>
              <w:rPr>
                <w:rFonts w:eastAsia="MS Gothic" w:cs="MS Gothic" w:ascii="MS Gothic" w:hAnsi="MS Gothic"/>
                <w:sz w:val="16"/>
                <w:szCs w:val="16"/>
              </w:rPr>
              <w:t>☐</w:t>
            </w:r>
          </w:p>
        </w:tc>
        <w:tc>
          <w:tcPr>
            <w:tcW w:w="9222" w:type="dxa"/>
            <w:tcBorders/>
          </w:tcPr>
          <w:p>
            <w:pPr>
              <w:pStyle w:val="normal1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(Nieobowiązkowo). Inne załączniki – w przypadku zaznaczenia pola należy podać nazwy załączników.</w:t>
            </w:r>
            <w:r>
              <w:rPr>
                <w:rStyle w:val="FootnoteReference"/>
                <w:sz w:val="16"/>
                <w:szCs w:val="16"/>
                <w:vertAlign w:val="superscript"/>
              </w:rPr>
              <w:footnoteReference w:id="10"/>
            </w:r>
            <w:r>
              <w:rPr>
                <w:sz w:val="16"/>
                <w:szCs w:val="16"/>
                <w:vertAlign w:val="superscript"/>
              </w:rPr>
              <w:t>)</w:t>
            </w:r>
            <w:r>
              <w:rPr>
                <w:sz w:val="16"/>
                <w:szCs w:val="16"/>
              </w:rPr>
              <w:t xml:space="preserve"> …………………………………………</w:t>
            </w:r>
            <w:r>
              <w:rPr/>
              <w:t>……………………………………………………………………</w:t>
            </w:r>
          </w:p>
        </w:tc>
      </w:tr>
    </w:tbl>
    <w:p>
      <w:pPr>
        <w:pStyle w:val="Heading3"/>
        <w:ind w:hanging="0" w:left="0" w:right="0"/>
        <w:rPr>
          <w:b/>
          <w:sz w:val="24"/>
          <w:szCs w:val="24"/>
          <w:shd w:fill="8E7CC3" w:val="clear"/>
        </w:rPr>
      </w:pPr>
      <w:r>
        <w:rPr>
          <w:b/>
          <w:sz w:val="24"/>
          <w:szCs w:val="24"/>
        </w:rPr>
        <w:t>10</w:t>
      </w:r>
      <w:r>
        <w:rPr>
          <w:b/>
          <w:sz w:val="24"/>
          <w:szCs w:val="24"/>
          <w:shd w:fill="8E7CC3" w:val="clear"/>
        </w:rPr>
        <w:t>. PODPIS SKŁADAJĄCEGO PISMO (PEŁNOMOCNIKA) I DATA PODPISU</w:t>
      </w:r>
    </w:p>
    <w:p>
      <w:pPr>
        <w:pStyle w:val="normal1"/>
        <w:rPr/>
      </w:pPr>
      <w:r>
        <w:rPr>
          <w:sz w:val="16"/>
          <w:szCs w:val="16"/>
        </w:rPr>
        <w:t>Podpis powinien być czytelny. Podpis i datę podpisu umieszcza się w przypadku składania pisma w postaci papierowej.</w:t>
      </w:r>
    </w:p>
    <w:p>
      <w:pPr>
        <w:pStyle w:val="normal1"/>
        <w:spacing w:lineRule="auto" w:line="240" w:before="240" w:after="50"/>
        <w:jc w:val="both"/>
        <w:rPr>
          <w:sz w:val="2"/>
          <w:szCs w:val="2"/>
        </w:rPr>
      </w:pPr>
      <w:r>
        <w:rPr>
          <w:shd w:fill="FFFF00" w:val="clear"/>
        </w:rPr>
        <w:t>Podpis</w:t>
      </w:r>
      <w:r>
        <w:rPr/>
        <w:t xml:space="preserve">: …………………………………………………………………          </w:t>
      </w:r>
      <w:r>
        <w:rPr>
          <w:shd w:fill="FFFF00" w:val="clear"/>
        </w:rPr>
        <w:t>Data</w:t>
      </w:r>
      <w:r>
        <w:rPr/>
        <w:t>: ……………………………</w:t>
      </w:r>
      <w:r>
        <w:rPr>
          <w:sz w:val="2"/>
          <w:szCs w:val="2"/>
        </w:rPr>
        <w:t>D</w:t>
      </w:r>
    </w:p>
    <w:p>
      <w:pPr>
        <w:pStyle w:val="normal1"/>
        <w:spacing w:lineRule="auto" w:line="240" w:before="240" w:after="5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1 </w:t>
      </w:r>
    </w:p>
    <w:p>
      <w:pPr>
        <w:pStyle w:val="normal1"/>
        <w:spacing w:lineRule="auto" w:line="240" w:before="240" w:after="5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UWAGI DO UMOWY URBANISTYCZNEJ: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1.Działki położone przy ul. Bohaterów Września (w koncepcji przeznaczone pod szkołę) należą do inwestycji głównej – umowa przewiduje ich nieodpłatne przekazanie na rzecz gminy w terminie 36 miesięcy od dnia wejścia w życie ZPI - § 2 pkt 1 tiret 4, § 5 ust. 4 pkt 1 umowy urbanistycznej;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2.Obowiązek Inwestora ochrona miejsc pamięci bez zabezpieczenia realizacji – obowiązek w treści umowy ujęty jako podjęcie działań celem stworzenia miejsca upamiętnienia - § 7 ust. 5 umowy urbanistycznej;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3.Gmina przejmuje odpowiedzialność za stan i utrzymanie parkingu (oznaczenie 1KOP-ZP) przylegającego do inwestycji głównej (obszar 1US) - § 5 ust. 2 umowy urbanistycznej;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4.Wytyczne ochrony gatunkowej znajdują zastosowanie tylko przy inwestycji uzupełniającej – brak tożsamego obowiązku przy inwestycji głównej - § 4 ust. 3 umowy urbanistycznej;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5.Szerokie uprawnienie Inwestora do usytuowania placów zabaw na terenach zielonych do 300 m od działki budowlanej celem wykorzystywania na potrzeby inwestycji (w sytuacji gdy doliny są uznane za szczególnie wartościowe tereny zieleni) - § 7 ust. 4 umowy urbanistycznej;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6.Prawa odkupu i pierwokupu dla inwestora wobec przekazanych terenów – odkup za 1 zł w przypadku zmiany przeznaczenia terenów w zakresie możliwości zabudowy - § 9 ust 4 umowy urbanistycznej;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7.Niedostateczne zabezpieczenie realizacji przez Inwestora obowiązku złożenia wniosku o podział działek (Inwestor ma obowiązek złożyć wniosek do dokonanie podziału w terminie 120 dni od uzyskania prawomocnej opinii Prezydenta Miasta Lublin o zgodności proponowanego podziału z ZPI) celem zbycia w drodze umowy sprzedaży na rzecz Gminy nieruchomości stanowiącej działki o łącznej powierzchni nie mniejszej niż 75 ha  - umowa urbanistyczna przewiduje na tą okoliczność jednorazową karę umowną w kwocie 50 000 zł, co do zapłaty której Inwestor poddaje się egzekucji w trybie art. 777 ust. 1 pkt 5 kpc. Tymczasem od realizacji przez Inwestora tego obowiązku zależy czas w jakim Inwestor obowiązany będzie do przeniesienia na rzecz Gminy własności działek. Kara umowna winna być zastrzeżona jako postępująca, za każdy dzień opóźnienia w realizacji obowiązku w adekwatnej wysokości - § 5 ust. 1 pkt 3 umowy urbanistycznej;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8.Brak instrumentów zabezpieczających terminową realizację obowiązku zbycia w drodze umowy sprzedaży na rzecz Gminy nieruchomości stanowiącej działki o łącznej powierzchni nie mniejszej niż 75 ha - § 5 ust. 1 pkt 3 umowy urbanistycznej;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9. Brak zabezpieczenia w zakresie okresów gwarancyjnych dla danych etapów Infrastruktury Parkowej/Parkingu, które zostaną przekazane Gminie (umowa urbanistyczna wskazuje na udzielenie przez Inwestora na rzecz Gminy gwarancji, na zasadach gwarancji udzielonych Inwestorowi przez poszczególnych wykonawców) - § 5 ust. 3 umowy urbanistycznej;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10.Nieuzasadnione uprawnienie Inwestora do odstąpienia od umowy przedwstępnej lub do nie zawarcia umowy sprzedaży na rzecz Gminy nieruchomości stanowiącej działki o łącznej powierzchni nie mniejszej niż 75 ha w sytuacji gdy Inwestor nie uzyska w terminie 114 miesięcy od Decyzji Podziałowej prawomocnych decyzji o pozwoleniu na budowę w zakresie 60% łącznie terenów oznaczonych: 1MN-MW, 2MN-MW, 1MW-U, 2MW-U, 2MW-U, 4 MW-U, 5MW-U, 1US.</w:t>
      </w:r>
    </w:p>
    <w:p>
      <w:pPr>
        <w:pStyle w:val="normal1"/>
        <w:spacing w:lineRule="auto" w:line="240" w:before="240" w:after="5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UWAGI do projektu Uchwały Rady Miasta Lublin w sprawie uchwalenia zintegrowanego planu inwestycyjnego dla Obszarów Nr 1 i Nr 2, położonych w Lublinie w rejonie ulic Bohaterów Września, Poligonowej, Gen. Bolesława Ducha, Północnej, Koncertowej, Zelwerowicza [dalej jako: „ZPI”]: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1.Niezgodność z zasadą zrównoważonego rozwoju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ZPI dopuszcza intensywną zabudowę mieszkaniową na terenach dotychczas zielonych, co prowadzi do nieodwracalnej utraty powierzchni biologicznie czynnych. Narusza to art. 1 ust. 1 i 2 ustawy o planowaniu i zagospodarowaniu przestrzennym z dnia 27 marca 2003 r. (Dz.U. Nr 80, poz. 717) tj. z dnia 21 czerwca 2024 r. (Dz.U. z 2024 r. poz. 1130) [dalej jako: „ustawa o planowaniu i zagospodarowaniu przestrzennym”].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2.Niezachowanie ładu przestrzennego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Gęsta zabudowa nie tworzy spójnych relacji przestrzennych z otoczeniem i degraduje krajobraz - sprzeczność z art. 2 pkt 1 ustawy o planowaniu i zagospodarowaniu przestrzennym.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3.Degradacja przyrodnicza terenu Górek Czechowskich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ZPI dopuszcza zabudowę w obrębie Zespołu Przyrodniczo-Krajobrazowego, łamiąc art. 5 Konstytucji RP i art. 81 ustawy Prawo ochrony środowiska z dnia 27 kwietnia 2001 r. (Dz.U. Nr 62, poz. 627) tj. z dnia 9 maja 2025 r. (Dz.U. z 2025 r. poz. 647) [dalej jako: „ustawa prawo ochrony środowiska”].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4.Pogorszenie warunków przewietrzania i mikroklimatu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Zabudowa ograniczy kanały przewietrzania miasta, zwiększając ryzyko efektu miejskiej wyspy ciepła, stagnacji powietrza i stresu termicznego, gromadzenia i narastania warstw zanieczyszczonego powietrza (w tym również napływającego spoza granic administracyjnych miasta). Naruszenie art. 1 ust. 2 pkt 1 ustawy o planowaniu i zagospodarowaniu przestrzennym.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5.Brak niezależnej analizy chłonności środowiskowej. 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Analizy oparte są na dokumentach zamówionych przez inwestora, bez weryfikacji przez niezależny organ. Narusza to zasadę rzetelnej administracji (art. 1 ustawy o planowaniu i zagospodarowaniu przestrzennym).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6.Niewystarczająca ochrona miejsc pamięci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Brak stref buforowych otoczenia wokół miejsc pochówków wojennych i historycznych. Naruszenie art. 7 Konstytucji RP oraz ustawy o ochronie zabytków i opiece nad zabytkami.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7.Naruszenie zasady partycypacji społecznej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Projekt powstał bez realnego uwzględnienia protestów mieszkańców. Naruszenie art. 1 ust. 3  ustawy o planowaniu i zagospodarowaniu przestrzennym i Konwencji sporządzonej w Aarhus dnia 25 czerwca 1998 r. o dostępie do informacji, udziale społeczeństwa w podejmowaniu decyzji oraz dostępie do sprawiedliwości w sprawach dotyczących środowiska (Dz.U. 2003 Nr 78, poz. 706) [dalej jako: „Konwencja z Aarhus”]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8.Brak nadrzędnego interesu publicznego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Zabudowa terenów zielonych nie została uzasadniona nadrzędnym interesem publicznym. Naruszenie art. 6 ust. 2 pkt 1 ustawy o planowaniu i zagospodarowaniu przestrzennym.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9. Sprzeczność z ustaleniami Studium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Skala zabudowy przekracza to, co przewiduje Studium uwarunkowań dla tego obszaru (Studium uwarunkowań i kierunków zagospodarowania przestrzennego miasta Lublin przyjętego uchwałą nr 283/VlII/2019 Rady Miasta Lublin z dnia 1 lipca 2019 r.). Studium klasyfikuje część terenów Górek Czechowskich jako tereny zieleni urządzonej, nieurządzonej i otwartych przestrzeni biologicznie czynnych. Wskazuje się na ich funkcję klimatyczną, ekologiczną i rekreacyjną, a także rolę w systemie przewietrzania północnej części miasta. Projekt ZPI dopuszcza zabudowę wielorodzinną, co radykalnie zmienia charakter użytkowania terenu. Oznacza to utratę funkcji przyrodniczej i społecznej, a także przerwanie korytarzy ekologicznych. Wskaźniki intensywności zabudowy przyjęte w ZPI (np. wskaźnik 1,2 czy 1,6) są niespójne z zabudową sąsiednią i nie zostały przewidziane w Studium, które promuje umiarkowaną zabudowę niską lub otwartą zabudowę rekreacyjną. Ponadto wskazać należy na przeznaczenie terenów oznaczonych jako 1US –  wyklucza się w zasadzie tylko handel wielkopowierzchniowy, usługi biurowe i religijne, bezpieczeństwa i porządku publicznego oraz zabudowę mieszkaniową, przeznaczenie uzupełniające dopuszcza wszelkie inne usługi, podczas gdy teren miał być przeznaczony pod usługi sportu i rekreacji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Zmiana funkcji terenów zielonych na funkcje mieszkaniowe, jeżeli jest sprzeczna ze Studium, prowadzi do istotnego naruszenia prawa i stanowi przesłankę nieważności uchwały planistycznej. Radykalna zmiana przeznaczenia terenów w planie, nieznajdująca uzasadnienia w Studium, narusza zasadę spójności planowania przestrzennego.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10. Brak przejrzystości i pełnego dostępu do informacji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Nie udostępniono pełnych danych o wpływie na bioróżnorodność. Naruszenie art. 19 i 39 ust. 1 pkt 4 ustawy o dostępie do informacji o środowisku.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Mamy do czynienia z istotnymi brakami w zakresie przejrzystości i kompletności informacji środowiskowych. Brakuje m.in.: pełnej inwentaryzacji przyrodniczej w dokumentach planistycznych (a nie tylko w osobnej prognozie oddziaływania na środowisko), dokładnych map występowania siedlisk i gatunków chronionych, czytelnych danych o wpływie zabudowy na lokalną bioróżnorodność, jednoznacznych wniosków co do skutków dla korytarzy ekologicznych i systemu przyrodniczego miasta. W dokumentacji ZPI (uzasadnieniu) brak:</w:t>
      </w:r>
    </w:p>
    <w:p>
      <w:pPr>
        <w:pStyle w:val="normal1"/>
        <w:numPr>
          <w:ilvl w:val="0"/>
          <w:numId w:val="7"/>
        </w:numPr>
        <w:spacing w:lineRule="auto" w:line="240" w:before="240" w:afterAutospacing="0" w:after="0"/>
        <w:ind w:hanging="360" w:left="72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>Konkretnych gatunków chronionych obecnych na terenie inwestycji – brak wskazania np. miejsc bytowania płazów, ptaków czy ssaków chronionych (np. chomik europejski).</w:t>
      </w:r>
    </w:p>
    <w:p>
      <w:pPr>
        <w:pStyle w:val="normal1"/>
        <w:numPr>
          <w:ilvl w:val="0"/>
          <w:numId w:val="7"/>
        </w:numPr>
        <w:spacing w:lineRule="auto" w:line="240" w:beforeAutospacing="0" w:before="0" w:afterAutospacing="0" w:after="0"/>
        <w:ind w:hanging="360" w:left="72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>Map zasięgów siedlisk przyrodniczych – występują tylko ogólne odniesienia do „terenów zielonych” bez rzetelnego podziału na siedliska zgodnie z klasyfikacją Natura 2000 czy standardami GDOŚ.</w:t>
      </w:r>
    </w:p>
    <w:p>
      <w:pPr>
        <w:pStyle w:val="normal1"/>
        <w:numPr>
          <w:ilvl w:val="0"/>
          <w:numId w:val="7"/>
        </w:numPr>
        <w:spacing w:lineRule="auto" w:line="240" w:beforeAutospacing="0" w:before="0" w:afterAutospacing="0" w:after="0"/>
        <w:ind w:hanging="360" w:left="72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>Danych liczbowych i jakościowych dotyczących potencjalnych strat przyrodniczych – nie ma bilansu strat i kompensacji (np. ile zostanie utraconych powierzchni biologicznie czynnych).</w:t>
      </w:r>
    </w:p>
    <w:p>
      <w:pPr>
        <w:pStyle w:val="normal1"/>
        <w:numPr>
          <w:ilvl w:val="0"/>
          <w:numId w:val="7"/>
        </w:numPr>
        <w:spacing w:lineRule="auto" w:line="240" w:beforeAutospacing="0" w:before="0" w:after="50"/>
        <w:ind w:hanging="360" w:left="72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>łatwo dostępnych materiałów online dla przeciętnego mieszkańca – dokumenty są niejednolicie sformatowane i wymagają wysokiego poziomu wiedzy specjalistycznej.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W efekcie, mieszkańcy – jako strona społeczna – nie mają realnej możliwości dokonania świadomej oceny wpływu inwestycji na środowisko.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11.Niewykorzystanie raportu z inwentaryzacji i waloryzacji przyrodniczej: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ZPI nie odnosi się do dostępnego organom „Raportu z inwentaryzacji i waloryzacji przyrodniczej wąwozów: nr 13 Górki Czechowskie, nr 26 Lipnik, nr 41-53 Zimne Doły wraz z analizą urbanistyczną” z grudnia 2019 r. [dalej jako: „Raport z inwentaryzacji i waloryzacji przyrodniczej”]</w:t>
      </w:r>
    </w:p>
    <w:p>
      <w:pPr>
        <w:pStyle w:val="normal1"/>
        <w:numPr>
          <w:ilvl w:val="0"/>
          <w:numId w:val="12"/>
        </w:numPr>
        <w:spacing w:lineRule="auto" w:line="240" w:before="240" w:after="50"/>
        <w:ind w:hanging="360" w:left="72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>ZPI pomija obszary o wysokiej waloryzacji przyrodniczej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Raport z inwentaryzacji i waloryzacji przyrodniczej wskazuje, że znaczne fragmenty terenu mają bardzo wysokie wartości przyrodnicze (klasa III i IV). ZPI przeznacza część tych obszarów pod zabudowę, nie odnosząc się do ich waloryzacji. To narusza zasadę unikania konfliktów funkcji planistycznej z funkcją środowiskową.</w:t>
      </w:r>
    </w:p>
    <w:p>
      <w:pPr>
        <w:pStyle w:val="normal1"/>
        <w:numPr>
          <w:ilvl w:val="0"/>
          <w:numId w:val="11"/>
        </w:numPr>
        <w:spacing w:lineRule="auto" w:line="240" w:before="240" w:after="50"/>
        <w:ind w:hanging="360" w:left="72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>Brak odniesienia do gatunków chronionych wskazanych w raporcie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Raport z inwentaryzacji i waloryzacji przyrodniczej identyfikuje występowanie chronionych gatunków (np. płazów, nietoperzy, ptaków, chomika europejskiego). ZPI i prognoza nie analizują ich siedlisk ani wpływu inwestycji na te gatunki.</w:t>
      </w:r>
    </w:p>
    <w:p>
      <w:pPr>
        <w:pStyle w:val="normal1"/>
        <w:numPr>
          <w:ilvl w:val="0"/>
          <w:numId w:val="5"/>
        </w:numPr>
        <w:spacing w:lineRule="auto" w:line="240" w:before="240" w:after="50"/>
        <w:ind w:hanging="360" w:left="72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Niezidentyfikowanie roli terenu jako korytarza ekologicznego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Raport jednoznacznie wskazuje na funkcję korytarza ekologicznego. W dokumentach ZPI brak jest jakiejkolwiek wzmianki o tej funkcji.</w:t>
      </w:r>
    </w:p>
    <w:p>
      <w:pPr>
        <w:pStyle w:val="normal1"/>
        <w:numPr>
          <w:ilvl w:val="0"/>
          <w:numId w:val="9"/>
        </w:numPr>
        <w:spacing w:lineRule="auto" w:line="240" w:before="240" w:after="50"/>
        <w:ind w:hanging="360" w:left="72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Brak przeniesienia stref ochronnych z raportu do planu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Raport zaleca wyznaczenie stref buforowych wokół najbardziej wrażliwych obszarów. ZPI ignoruje te zalecenia, lokalizując zabudowę wewnątrz lub na granicy takich terenów.</w:t>
      </w:r>
    </w:p>
    <w:p>
      <w:pPr>
        <w:pStyle w:val="normal1"/>
        <w:numPr>
          <w:ilvl w:val="0"/>
          <w:numId w:val="1"/>
        </w:numPr>
        <w:spacing w:lineRule="auto" w:line="240" w:before="240" w:after="50"/>
        <w:ind w:hanging="360" w:left="72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Brak odniesienia się do sukcesji i naturalizacji terenu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Raport dokumentuje sukcesję przyrodniczą i rozwój cennych zbiorowisk. ZPI i prognoza ignorują ten proces, nie oceniając wartości obecnych siedlisk.</w:t>
      </w:r>
    </w:p>
    <w:p>
      <w:pPr>
        <w:pStyle w:val="normal1"/>
        <w:numPr>
          <w:ilvl w:val="0"/>
          <w:numId w:val="10"/>
        </w:numPr>
        <w:spacing w:lineRule="auto" w:line="240" w:before="240" w:after="50"/>
        <w:ind w:hanging="360" w:left="72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>Brak bilansu strat przyrodniczych i działań kompensacyjnych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ZPI nie analizuje, ile powierzchni przyrodniczej zostanie utracone. Brakuje również jakichkolwiek działań kompensacyjnych, takich jak tworzenie nowych siedlisk czy retencja.</w:t>
      </w:r>
    </w:p>
    <w:p>
      <w:pPr>
        <w:pStyle w:val="normal1"/>
        <w:spacing w:lineRule="auto" w:line="240" w:before="240" w:after="5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UWAGI do Prognozy Oddziaływania Na Środowisko Zintegrowanego Planu Inwestycyjnego dla Obszarów Nr 1 i Nr 2, położonych w Lublinie w rejonie ulic: Bohaterów Września, Poligonowej, Gen. Bolesława Ducha, Północnej, Koncertowej, Zelwerowicza [dalej jako: „prognoza”].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W ZAKRESIE NIEWYSTARCZAJĄCEJ OCHRONY ZAGROŻONEGO GATUNKU – CHOMIKA EUROPEJSKIEGO (CRICETUS CRICETUS):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1.Brak szczegółowej analizy przestrzennej występowania chomika europejskiego w odniesieniu do projektowanej zabudowy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Prognoza nie zawiera dokładnego powiązania lokalizacji stanowisk chomika europejskiego z planowaną zabudową. Brakuje map rozmieszczenia nor i terytoriów, które powinny być elementem oceny ryzyka bezpośredniego naruszenia siedlisk. Wymóg ten wynika z art. 51 ust. 2 ustawy o udostępnianiu informacji o środowisku i jego ochronie, udziale społeczeństwa w ochronie środowiska oraz o ocenach oddziaływania na środowisko z dnia 3 października 2008 r. (Dz.U. Nr 199, poz. 1227) tj. z dnia 14 czerwca 2024 r. (Dz.U. z 2024 r. poz. 1112) [dalej jako: „ustawa o udostępnianiu informacji o środowisku”]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2.Niedostateczne zabezpieczenie korytarzy ekologicznych i enklawy ochronnej dla gatunku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Prognoza w sposób niewystarczający zabezpiecza ciągłość korytarzy ekologicznych i enklawy ochronnej. Jest to niezgodne z art. 9 i 10 Dyrektywa Rady 92/43/EWG z dnia 21 maja 1992 r. w sprawie ochrony siedlisk przyrodniczych oraz dzikiej fauny i flory [dalej jako: „dyrektywa siedliskowa”]  oraz art. 2 ustawy o ochronie przyrody z dnia 16 kwietnia 2004 r. (Dz.U. Nr 92, poz. 880) tj. z dnia 11 września 2024 r. (Dz.U. z 2024 r. poz. 1478) [dalej jako: „ustawa o ochronie przyrody”]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3. Brak precyzyjnych działań kompensacyjnych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Pomimo stwierdzenia obecności chomika europejskiego, prognoza nie zawiera konkretnych, mierzalnych działań kompensacyjnych ani planów restytucji siedlisk. Obowiązek taki wynika m.in. z art. 34 ust. 1 ustawy o ochronie przyrody oraz § 6 ust. 1 Rozporządzenia Ministra Środowiska w sprawie ochrony gatunkowej zwierząt z dnia 16 grudnia 2016 r. (Dz.U. z 2016 r. poz. 2183) tj. z dnia 19 października 2022 r. (Dz.U. z 2022 r. poz. 2380) [dalej jako: „rozporządzenie Ministra Środowiska z dnia 16 grudnia 2016 r. w sprawie ochrony gatunkowej zwierząt”]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4.Pominięcie zaleceń Europejskiego Planu Działań dla ochrony chomika europejskiego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Chociaż dokument ten został wymieniony w bibliografii, Prognoza nie zawiera jego merytorycznego odniesienia. Plan ten zaleca trwałe zachowanie siedlisk, eliminację presji urbanizacyjnej i unikanie ich fragmentacji.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5.Zbyt ogólnikowe zapisy dotyczące monitoringu porealizacyjnego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Zawarte w prognozie zapisy o „monitorowaniu enklawy ochronnej dla chomika” są nieprecyzyjne i niewystarczające. Jest to sprzeczne z art. 55 ust. 3 pkt 5 ustawy o udostępnianiu informacji o środowisku.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6.Niewskazanie wariantu alternatywnego wykluczającego zabudowę na terenach zasiedlonych przez chomika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Brakuje wariantu zakładającego rezygnację z zabudowy na siedliskach chomika europejskiego, mimo że art. 51 ust. 2 pkt 3 ustawy o udostępnianiu informacji o środowisku wymaga rozważenia rozwiązań alternatywnych.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7.Niezastosowanie zasady przezorności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Z uwagi na niepewność co do wpływu inwestycji na populację gatunku, należało zastosować zasadę przezorności, wynikającą z art. 191 Traktatu o funkcjonowaniu Unii Europejskiej (dalej jako: „TFUE”) oraz art. 6 ustawy prawo ochrony środowiska.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b/>
          <w:sz w:val="22"/>
          <w:szCs w:val="22"/>
        </w:rPr>
        <w:t>WNIOSKI</w:t>
      </w:r>
      <w:r>
        <w:rPr>
          <w:sz w:val="22"/>
          <w:szCs w:val="22"/>
        </w:rPr>
        <w:t>: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Uzupełnienie prognozy oddziaływania na środowisko o:</w:t>
      </w:r>
    </w:p>
    <w:p>
      <w:pPr>
        <w:pStyle w:val="normal1"/>
        <w:numPr>
          <w:ilvl w:val="0"/>
          <w:numId w:val="4"/>
        </w:numPr>
        <w:spacing w:lineRule="auto" w:line="240" w:before="240" w:afterAutospacing="0" w:after="0"/>
        <w:ind w:hanging="360" w:left="72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>szczegółowe dane lokalizacyjne stanowisk chomika europejskiego,</w:t>
      </w:r>
    </w:p>
    <w:p>
      <w:pPr>
        <w:pStyle w:val="normal1"/>
        <w:numPr>
          <w:ilvl w:val="0"/>
          <w:numId w:val="4"/>
        </w:numPr>
        <w:spacing w:lineRule="auto" w:line="240" w:beforeAutospacing="0" w:before="0" w:afterAutospacing="0" w:after="0"/>
        <w:ind w:hanging="360" w:left="72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>wskazanie ścisłej enklawy ochronnej z zakazem zabudowy,</w:t>
      </w:r>
    </w:p>
    <w:p>
      <w:pPr>
        <w:pStyle w:val="normal1"/>
        <w:numPr>
          <w:ilvl w:val="0"/>
          <w:numId w:val="4"/>
        </w:numPr>
        <w:spacing w:lineRule="auto" w:line="240" w:beforeAutospacing="0" w:before="0" w:afterAutospacing="0" w:after="0"/>
        <w:ind w:hanging="360" w:left="72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>konkretne środki kompensacyjne,</w:t>
      </w:r>
    </w:p>
    <w:p>
      <w:pPr>
        <w:pStyle w:val="normal1"/>
        <w:numPr>
          <w:ilvl w:val="0"/>
          <w:numId w:val="4"/>
        </w:numPr>
        <w:spacing w:lineRule="auto" w:line="240" w:beforeAutospacing="0" w:before="0" w:afterAutospacing="0" w:after="0"/>
        <w:ind w:hanging="360" w:left="72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>plan monitoringu porealizacyjnego z harmonogramem i wskaźnikami,</w:t>
      </w:r>
    </w:p>
    <w:p>
      <w:pPr>
        <w:pStyle w:val="normal1"/>
        <w:numPr>
          <w:ilvl w:val="0"/>
          <w:numId w:val="4"/>
        </w:numPr>
        <w:spacing w:lineRule="auto" w:line="240" w:beforeAutospacing="0" w:before="0" w:afterAutospacing="0" w:after="0"/>
        <w:ind w:hanging="360" w:left="72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>odniesienie do Europejskiego Planu Działań oraz</w:t>
      </w:r>
    </w:p>
    <w:p>
      <w:pPr>
        <w:pStyle w:val="normal1"/>
        <w:numPr>
          <w:ilvl w:val="0"/>
          <w:numId w:val="4"/>
        </w:numPr>
        <w:spacing w:lineRule="auto" w:line="240" w:beforeAutospacing="0" w:before="0" w:after="50"/>
        <w:ind w:hanging="360" w:left="72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>rozważenie wariantu alternatywnego wykluczającego zabudowę na siedliskach gatunku.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W ZAKRESIE NIEWYSTARCZAJĄCEJ OCHRONY DZIEDZICTWA ARCHEOLOGICZNEGO I MIEJSC PAMIĘCI NA TERENIE GÓREK CZECHOWSKICH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1.Brak szczegółowej inwentaryzacji i mapy obiektów archeologicznych oraz miejsc pochówków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Prognoza nie zawiera precyzyjnej lokalizacji i opisów obiektów archeologicznych oraz historycznych miejsc pochówków, mimo że na obszarze objętym inwestycją stwierdzono ich występowanie. Utrudnia to ocenę ryzyka ich uszkodzenia lub zniszczenia.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2.Niedostateczne uwzględnienie konieczności ochrony mogił i grobów wojennych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W prognozie nie zaproponowano konkretnych mechanizmów zabezpieczenia i oznaczenia miejsc pochówków, co jest niezgodne z ustawą o cmentarzach i chowaniu zmarłych oraz ustawą o ochronie miejsc pamięci narodowej.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3.Brak analizy wpływu inwestycji na obiekty ujęte w gminnej ewidencji zabytków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Nie przedstawiono wpływu inwestycji na stanowiska archeologiczne i obiekty historyczne znajdujące się w gminnej ewidencji zabytków. Zgodnie z art. 4 pkt 6 ustawy o ochronie zabytków i opiece nad zabytkami z dnia 23 lipca 2003 r. (Dz.U. Nr 162, poz. 1568) tj. z dnia 19 sierpnia 2024 r. (Dz.U. z 2024 r. poz. 1292), ich ochrona powinna być uwzględniona na etapie planowania.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4.Pominięcie procedur archeologicznych w procesie inwestycyjnym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Prognoza nie zawiera wskazań do obowiązku przeprowadzenia nadzoru archeologicznego lub badań ratowniczych przed rozpoczęciem prac budowlanych na terenach o wysokim prawdopodobieństwie występowania zabytków.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5.Brak propozycji działań kompensacyjnych lub edukacyjnych dotyczących miejsc pamięci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Nie zaproponowano żadnych działań upamiętniających istniejące miejsca pochówku czy stanowiska historyczne, mimo że inwestycja może wpłynąć na percepcję krajobrazową i symboliczną tych miejsc.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6.Niedostateczne zastosowanie zasady ostrożności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W świetle niepełnych danych na temat lokalizacji obiektów dziedzictwa kulturowego, należało zastosować zasadę ostrożności i wyznaczyć strefy buforowe oraz objąć je zakazem prac ziemnych do czasu pełnego rozpoznania archeologicznego.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WNIOSKI: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Uzupełnienie prognozy oddziaływania na środowisko o:</w:t>
      </w:r>
    </w:p>
    <w:p>
      <w:pPr>
        <w:pStyle w:val="normal1"/>
        <w:numPr>
          <w:ilvl w:val="0"/>
          <w:numId w:val="13"/>
        </w:numPr>
        <w:spacing w:lineRule="auto" w:line="240" w:before="240" w:afterAutospacing="0" w:after="0"/>
        <w:ind w:hanging="360" w:left="72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>szczegółową inwentaryzację i mapę miejsc pamięci oraz stanowisk archeologicznych,</w:t>
      </w:r>
    </w:p>
    <w:p>
      <w:pPr>
        <w:pStyle w:val="normal1"/>
        <w:numPr>
          <w:ilvl w:val="0"/>
          <w:numId w:val="13"/>
        </w:numPr>
        <w:spacing w:lineRule="auto" w:line="240" w:beforeAutospacing="0" w:before="0" w:afterAutospacing="0" w:after="0"/>
        <w:ind w:hanging="360" w:left="72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>wprowadzenie stref ochronnych i zakazu ingerencji w newralgicznych punktach,</w:t>
      </w:r>
    </w:p>
    <w:p>
      <w:pPr>
        <w:pStyle w:val="normal1"/>
        <w:numPr>
          <w:ilvl w:val="0"/>
          <w:numId w:val="13"/>
        </w:numPr>
        <w:spacing w:lineRule="auto" w:line="240" w:beforeAutospacing="0" w:before="0" w:afterAutospacing="0" w:after="0"/>
        <w:ind w:hanging="360" w:left="72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>obowiązek prowadzenia nadzoru archeologicznego,</w:t>
      </w:r>
    </w:p>
    <w:p>
      <w:pPr>
        <w:pStyle w:val="normal1"/>
        <w:numPr>
          <w:ilvl w:val="0"/>
          <w:numId w:val="13"/>
        </w:numPr>
        <w:spacing w:lineRule="auto" w:line="240" w:beforeAutospacing="0" w:before="0" w:afterAutospacing="0" w:after="0"/>
        <w:ind w:hanging="360" w:left="72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>propozycje działań edukacyjnych lub upamiętniających,</w:t>
      </w:r>
    </w:p>
    <w:p>
      <w:pPr>
        <w:pStyle w:val="normal1"/>
        <w:numPr>
          <w:ilvl w:val="0"/>
          <w:numId w:val="13"/>
        </w:numPr>
        <w:spacing w:lineRule="auto" w:line="240" w:beforeAutospacing="0" w:before="0" w:after="50"/>
        <w:ind w:hanging="360" w:left="72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>analizę oddziaływania inwestycji na percepcję i symbolikę tych miejsc.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W ZAKRESIE NIEWYSTARCZAJĄCEGO UWZGLĘDNIENIA WPŁYWU INWESTYCJI NA ZDROWIE LUDZI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1.Brak kompleksowej analizy wpływu planowanej zabudowy na jakość powietrza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Prognoza nie uwzględnia potencjalnego wzrostu emisji zanieczyszczeń powietrza w wyniku zwiększenia ruchu drogowego i zmniejszenia powierzchni zielonych. Brakuje oceny wpływu na populacje wrażliwe – dzieci, osoby starsze i chore.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2.Niedostateczna analiza klimatu akustycznego i hałasu komunikacyjnego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Dokument nie zawiera szczegółowej oceny poziomu hałasu, który może wystąpić w wyniku realizacji i eksploatacji planowanej zabudowy, mimo że obszar sąsiaduje z ruchliwymi ulicami. Brakuje również prognozy wpływu hałasu na zdrowie psychiczne i jakość życia mieszkańców.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3.Pominięcie skutków zabudowy na warunki mikroklimatyczne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Brakuje analizy wpływu inwestycji na zjawisko miejskiej wyspy ciepła, mimo że zmniejszenie powierzchni biologicznie czynnych oraz zwiększenie powierzchni zabudowanych i utwardzonych może negatywnie wpłynąć na komfort termiczny mieszkańców.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4.Brak odniesienia do planów adaptacji do zmian klimatu w kontekście zdrowia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W prognozie nie przedstawiono, w jaki sposób inwestycja wpisuje się w Plan Adaptacji do zmian klimatu Miasta Lublin do roku 2030, który wskazuje potrzebę zapewnienia przewietrzania miasta i ochrony terenów zieleni w kontekście zdrowia publicznego.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5.Brak wskazania rozwiązań kompensacyjnych dla utraty usług ekosystemowych wpływających na zdrowie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Nie zaproponowano konkretnych działań, które mogłyby zrekompensować pogorszenie jakości życia (np. tworzenie zieleni izolacyjnej, ekranów akustycznych, zielonych dachów czy systemów retencji).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6.Niedostateczne uwzględnienie wpływu inwestycji na zdrowie psychiczne i społeczne mieszkańców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Brakuje oceny wpływu utraty terenów przyrodniczych na zdrowie psychiczne mieszkańców oraz potencjalnych skutków konfliktów społecznych wynikających z degradacji cennych przyrodniczo miejsc rekreacyjnych.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WNIOSKI: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Uzupełnienie prognozy oddziaływania na środowisko o: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hanging="360" w:left="72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>szczegółową analizę wpływu na zdrowie fizyczne i psychiczne mieszkańców,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hanging="360" w:left="72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>ocenę skutków związanych z jakością powietrza, hałasem i warunkami termicznymi,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hanging="360" w:left="72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>odniesienie do Planu Adaptacji do zmian klimatu Miasta Lublin,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50"/>
        <w:ind w:hanging="360" w:left="72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>wskazanie konkretnych działań kompensacyjnych i łagodzących negatywny wpływ inwestycji na zdrowie ludzi.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POZOSTAŁE UWAGI: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1.Niewykorzystanie raportu w prognozie środowiskowej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Prognoza nie odnosi się do zasadniczej treści dostępnego organom „Raportu z inwentaryzacji i waloryzacji przyrodniczej wąwozów: nr 13 Górki Czechowskie, nr 26 Lipnik, nr 41-53 Zimne Doły wraz z analizą urbanistyczną” z grudnia 2019 r. co narusza art. 51 ust. 2 pkt 1 i 2 ustawy o udostępnianiu informacji o środowisku.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2.Brak kompleksowej analizy krajobrazu kulturowego i jego przekształceń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Prognoza marginalizuje znaczenie krajobrazu jako dobra wspólnego i elementu tożsamości lokalnej. Nie przeprowadzono oceny wpływu planowanej zabudowy na percepcję przestrzeni oraz wartości krajobrazowe obszaru, co narusza art. 51 ust. 2 pkt 2 ustawy o udostępnianiu informacji o środowisku i jego ochronie oraz wytyczne Europejskiej Konwencji Krajobrazowej z dnia 20 października 2000 r. (Dz.U. 2006 Nr 14, poz. 98)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3.Niedostateczna analiza wpływu na bioróżnorodność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W prognozie nie uwzględniono w pełni wpływu inwestycji na różnorodność biologiczną, szczególnie w kontekście utraty siedlisk półnaturalnych, co jest wymagane zgodnie z art. 51 ust. 2 pkt 2 ustawy o udostępnianiu informacji o środowisku i jego ochronie oraz zobowiązaniami wynikającymi z Konwencji o różnorodności biologicznej z dnia 5 czerwca 1995 r. (Dz.U. 2002 Nr 184, poz. 1532).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4.Pominięcie pełnej oceny ciągłości korytarzy ekologicznych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Prognoza wskazuje na istnienie korytarzy ekologicznych, jednak nie analizuje ich funkcjonalności ani wpływu planowanej zabudowy na ich drożność. Jest to niezgodne z art. 5 pkt 2) ustawy o ochronie przyrody, § 10 pkt 4 ppkt i) Rozporządzenia Ministra Środowiska z dnia 16 grudnia 2016 r. w sprawie ochrony gatunkowej zwierząt oraz wytycznymi Generalnej Dyrekcji Ochrony Środowiska.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5.Brak oceny oddziaływań skumulowanych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Nie przeprowadzono analizy oddziaływań skumulowanych z innymi inwestycjami realizowanymi lub planowanymi w bezpośrednim sąsiedztwie. Jest to uchybienie wobec art. 51 ust. 2 pkt 2) ppkt e) ustawy o udostępnianiu informacji o środowisku i jego ochronie.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6.Brak spójności z celami dokumentów strategicznych miasta i województwa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Prognoza nie dokonuje jednoznacznej analizy zgodności planowanej zabudowy z celami zrównoważonego rozwoju określonymi m.in. w Strategii Rozwoju Lublina oraz Strategii Rozwoju Województwa Lubelskiego.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7.Niepełna analiza wpływu na retencję wodną i zmiany stosunków wodnych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W prognozie zabrakło pełnej oceny skutków uszczelnienia powierzchni oraz zmniejszenia naturalnej retencji, co może prowadzić do zwiększenia ryzyka podtopień. Narusza to Ramową Dyrektywę Wodną (2000/60/WE) oraz ustawę Prawo wodne z dnia 20 lipca 2017 r. (Dz.U. z 2017 r. poz. 1566) tj. z dnia 10 lipca 2024 r. (Dz.U. z 2024 r. poz. 1087).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8.Brak przejrzystej oceny wariantów alternatywnych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Chociaż w treści prognozy wspomniano o alternatywach, nie dokonano rzetelnej i porównawczej oceny ich wpływu na środowisko, co jest wymagane przez art. 51 ust. 2  ustawy o udostępnianiu informacji o środowisku i jego ochronie oraz orzecznictwo TSUE (sprawa C-24/19, A i in. przeciwko Gewestelijke stedenbouwkundige ambtenaar van het departement Ruimte Vlaanderen, afdeling Oost-Vlaanderen).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9.Niepełna identyfikacja zagrożeń klimatycznych i wpływu na adaptację do zmian klimatu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Pominięto kwestie związane z adaptacją do zmian klimatu, w tym ograniczanie emisji gazów cieplarnianych i odporność infrastruktury na ekstremalne zjawiska pogodowe. To uchybienie w świetle celów klimatycznych UE.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WNIOSKI: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  <w:t>Kompleksowe uzupełnienie prognozy oddziaływania na środowisko o:</w:t>
      </w:r>
    </w:p>
    <w:p>
      <w:pPr>
        <w:pStyle w:val="normal1"/>
        <w:numPr>
          <w:ilvl w:val="0"/>
          <w:numId w:val="6"/>
        </w:numPr>
        <w:spacing w:lineRule="auto" w:line="240" w:before="240" w:afterAutospacing="0" w:after="0"/>
        <w:ind w:hanging="360" w:left="72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>szczegółową analizę krajobrazu kulturowego i percepcji przestrzeni,</w:t>
      </w:r>
    </w:p>
    <w:p>
      <w:pPr>
        <w:pStyle w:val="normal1"/>
        <w:numPr>
          <w:ilvl w:val="0"/>
          <w:numId w:val="6"/>
        </w:numPr>
        <w:spacing w:lineRule="auto" w:line="240" w:beforeAutospacing="0" w:before="0" w:afterAutospacing="0" w:after="0"/>
        <w:ind w:hanging="360" w:left="72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>ocenę bioróżnorodności i funkcjonalności korytarzy ekologicznych,</w:t>
      </w:r>
    </w:p>
    <w:p>
      <w:pPr>
        <w:pStyle w:val="normal1"/>
        <w:numPr>
          <w:ilvl w:val="0"/>
          <w:numId w:val="6"/>
        </w:numPr>
        <w:spacing w:lineRule="auto" w:line="240" w:beforeAutospacing="0" w:before="0" w:afterAutospacing="0" w:after="0"/>
        <w:ind w:hanging="360" w:left="72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>analizę oddziaływań skumulowanych i spójności z dokumentami strategicznymi,</w:t>
      </w:r>
    </w:p>
    <w:p>
      <w:pPr>
        <w:pStyle w:val="normal1"/>
        <w:numPr>
          <w:ilvl w:val="0"/>
          <w:numId w:val="6"/>
        </w:numPr>
        <w:spacing w:lineRule="auto" w:line="240" w:beforeAutospacing="0" w:before="0" w:afterAutospacing="0" w:after="0"/>
        <w:ind w:hanging="360" w:left="72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>analizę retencji wodnej i wpływu na stosunki wodne,</w:t>
      </w:r>
    </w:p>
    <w:p>
      <w:pPr>
        <w:pStyle w:val="normal1"/>
        <w:numPr>
          <w:ilvl w:val="0"/>
          <w:numId w:val="6"/>
        </w:numPr>
        <w:spacing w:lineRule="auto" w:line="240" w:beforeAutospacing="0" w:before="0" w:afterAutospacing="0" w:after="0"/>
        <w:ind w:hanging="360" w:left="72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>rzetelne porównanie wariantów alternatywnych,</w:t>
      </w:r>
    </w:p>
    <w:p>
      <w:pPr>
        <w:pStyle w:val="normal1"/>
        <w:numPr>
          <w:ilvl w:val="0"/>
          <w:numId w:val="6"/>
        </w:numPr>
        <w:spacing w:lineRule="auto" w:line="240" w:beforeAutospacing="0" w:before="0" w:after="50"/>
        <w:ind w:hanging="360" w:left="72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>odniesienie do zagrożeń klimatycznych oraz strategii adaptacyjnych.</w:t>
      </w:r>
    </w:p>
    <w:p>
      <w:pPr>
        <w:pStyle w:val="normal1"/>
        <w:spacing w:lineRule="auto" w:line="240" w:before="240" w:after="5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Dalsze spostrzeżenia do treści prognozy:</w:t>
      </w:r>
    </w:p>
    <w:p>
      <w:pPr>
        <w:pStyle w:val="normal1"/>
        <w:numPr>
          <w:ilvl w:val="0"/>
          <w:numId w:val="2"/>
        </w:numPr>
        <w:spacing w:lineRule="auto" w:line="240" w:before="240" w:afterAutospacing="0" w:after="0"/>
        <w:ind w:hanging="360" w:left="72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 xml:space="preserve">Rzeźba terenu/podłoże geologiczne nie kwalifikuje tych terenów do zabudowy. Erozja podziemna na terenach lessowych uniemożliwiająca stabilne i bezpieczne posadowienie budynku  Suche doliny powinny zostać definitywnie wykluczone z zabudowy - Str. 14 </w:t>
      </w:r>
    </w:p>
    <w:p>
      <w:pPr>
        <w:pStyle w:val="normal1"/>
        <w:numPr>
          <w:ilvl w:val="0"/>
          <w:numId w:val="2"/>
        </w:numPr>
        <w:spacing w:lineRule="auto" w:line="240" w:beforeAutospacing="0" w:before="0" w:afterAutospacing="0" w:after="0"/>
        <w:ind w:hanging="360" w:left="72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 xml:space="preserve">Od obecności człowieka uzależnione jest występowanie pewnych gatunków roślin i zwierząt (antropopresja) – zbyt intensywny ruch pieszy i rowerowy prowadzi do płoszenia zwierząt – wybudowanie inwestycji doprowadzi do natężenia obecności człowieka co jest niewskazane dla celów ochrony chomika, a zabudowa zmniejszy obszar nieużytków i doprowadzi do niszczenia siedliska – zalecenia do wyeliminowania: zabudowa, ruch pieszy i presja turystyczna - Str. 18, Str. 79 </w:t>
      </w:r>
    </w:p>
    <w:p>
      <w:pPr>
        <w:pStyle w:val="normal1"/>
        <w:numPr>
          <w:ilvl w:val="0"/>
          <w:numId w:val="2"/>
        </w:numPr>
        <w:spacing w:lineRule="auto" w:line="240" w:beforeAutospacing="0" w:before="0" w:afterAutospacing="0" w:after="0"/>
        <w:ind w:hanging="360" w:left="72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 xml:space="preserve">Rzadkie i chronione gatunki roślin na terenie całego obszaru – ok. 400 gatunków, w tym 200 gatunków roślin leczniczych i miododajnych, w tym gatunki pod ochroną prawną, zagrożone wyginięciem i rzadkie - Str. 19, str. 21 </w:t>
      </w:r>
    </w:p>
    <w:p>
      <w:pPr>
        <w:pStyle w:val="normal1"/>
        <w:numPr>
          <w:ilvl w:val="0"/>
          <w:numId w:val="2"/>
        </w:numPr>
        <w:spacing w:lineRule="auto" w:line="240" w:beforeAutospacing="0" w:before="0" w:afterAutospacing="0" w:after="0"/>
        <w:ind w:hanging="360" w:left="72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>Zjawisko Miejskiej wyspy Ciepła – duża ilość terenów biologicznie czynnych wpływa na łagodzenie klimatu – obecnie Górki Czechowskie nie są narażone ze względu na brak zainwestowania – brak analizy z uwzględnieniem symulacji planowanej inwestycji - Str. 27</w:t>
      </w:r>
    </w:p>
    <w:p>
      <w:pPr>
        <w:pStyle w:val="normal1"/>
        <w:numPr>
          <w:ilvl w:val="0"/>
          <w:numId w:val="2"/>
        </w:numPr>
        <w:spacing w:lineRule="auto" w:line="240" w:beforeAutospacing="0" w:before="0" w:afterAutospacing="0" w:after="0"/>
        <w:ind w:hanging="360" w:left="72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>Obszar górek Czechowskich jest bardziej wrażliwy na przekształcenia (zakłócanie powiązań przyrodniczych (ESOCH), rozwijająca się zabudowa utrudnia migrację między obszarami – wyizolowanie – ciągi komunikacyjne i zabudowa pogłębiają izolację siedlisk - Str. 28</w:t>
      </w:r>
    </w:p>
    <w:p>
      <w:pPr>
        <w:pStyle w:val="normal1"/>
        <w:numPr>
          <w:ilvl w:val="0"/>
          <w:numId w:val="2"/>
        </w:numPr>
        <w:spacing w:lineRule="auto" w:line="240" w:beforeAutospacing="0" w:before="0" w:afterAutospacing="0" w:after="0"/>
        <w:ind w:hanging="360" w:left="72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>Obszar górek Czechowskich wpisany jest na Listę Dóbr Kultury Współczesnej – wytyczne do ochrony – zachowanie przeznaczonego od lat na ten cel terenu niezabudowanego w mieście – planowany od lat wielki park krajobrazowy miasta Lublina - Str. 30, 68, 83</w:t>
      </w:r>
    </w:p>
    <w:p>
      <w:pPr>
        <w:pStyle w:val="normal1"/>
        <w:numPr>
          <w:ilvl w:val="0"/>
          <w:numId w:val="2"/>
        </w:numPr>
        <w:spacing w:lineRule="auto" w:line="240" w:beforeAutospacing="0" w:before="0" w:afterAutospacing="0" w:after="0"/>
        <w:ind w:hanging="360" w:left="72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>W tabeli nie wpisano płaza chronionego grzebiuszki ziemnej objętej ścisłą ochroną – wymieniono kilka wybiórczo podczas gdy ujawniono 96 gatunków objętych ochroną prawną – wybiórcza analiza oddziaływania inwestycji na gatunki chronione - Str. 37</w:t>
      </w:r>
    </w:p>
    <w:p>
      <w:pPr>
        <w:pStyle w:val="normal1"/>
        <w:numPr>
          <w:ilvl w:val="0"/>
          <w:numId w:val="2"/>
        </w:numPr>
        <w:spacing w:lineRule="auto" w:line="240" w:beforeAutospacing="0" w:before="0" w:afterAutospacing="0" w:after="0"/>
        <w:ind w:hanging="360" w:left="72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Celem określonym w MPZP było zwiększanie powierzchni biologicznie czynnej – z kolei każda zabudowa zmniejsza obszar powierzchni biologicznie czynnej.</w:t>
      </w:r>
    </w:p>
    <w:p>
      <w:pPr>
        <w:pStyle w:val="normal1"/>
        <w:numPr>
          <w:ilvl w:val="0"/>
          <w:numId w:val="2"/>
        </w:numPr>
        <w:spacing w:lineRule="auto" w:line="240" w:beforeAutospacing="0" w:before="0" w:afterAutospacing="0" w:after="0"/>
        <w:ind w:hanging="360" w:left="72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>Liczebność chomika się zmniejszyła, co określono na podstawie liczby odnalezionych na wizji lokalnej nor – ochrona sprowadza się do przesiedlenia na wyznaczony teren odtwarzający siedlisko – ustawa o ochronie przyrody z 2004 r. – zakaz niszczenia nor i siedlisk – odnaleziono liczne nory na obszarze inwestycji – Str. 56-57</w:t>
      </w:r>
    </w:p>
    <w:p>
      <w:pPr>
        <w:pStyle w:val="normal1"/>
        <w:numPr>
          <w:ilvl w:val="0"/>
          <w:numId w:val="2"/>
        </w:numPr>
        <w:spacing w:lineRule="auto" w:line="240" w:beforeAutospacing="0" w:before="0" w:afterAutospacing="0" w:after="0"/>
        <w:ind w:hanging="360" w:left="72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 xml:space="preserve">Chomik europejski należy do gatunków stosunkowo łatwych do precyzyjnej inwentaryzacji i nie ma wątpliwości, że jest możliwe ustalenie przez specjalistę maksymalnej liczby osobników, która może znajdować się na danym obszarze. – brak inwentaryzacji ile osobników występuje i ile należy przenieść </w:t>
      </w:r>
    </w:p>
    <w:p>
      <w:pPr>
        <w:pStyle w:val="normal1"/>
        <w:numPr>
          <w:ilvl w:val="0"/>
          <w:numId w:val="2"/>
        </w:numPr>
        <w:spacing w:lineRule="auto" w:line="240" w:beforeAutospacing="0" w:before="0" w:after="50"/>
        <w:ind w:hanging="360" w:left="72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 xml:space="preserve">Zapis o brzmieniu “w przypadku zlokalizowania miejsc gatunków roślin i zwierząt objętych ścisłą ochroną należy postępować zgodnie z przepisami odrębnymi” – brak opisu konkretnych obowiązków. 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uto" w:line="240" w:before="240" w:after="50"/>
        <w:ind w:hanging="0" w:left="0"/>
        <w:rPr>
          <w:b/>
          <w:sz w:val="22"/>
          <w:szCs w:val="22"/>
        </w:rPr>
      </w:pPr>
      <w:r>
        <w:rPr>
          <w:b/>
          <w:sz w:val="22"/>
          <w:szCs w:val="22"/>
        </w:rPr>
        <w:t>POZOSTAŁE UWAGI DOTYCZĄCE OBOWIĄZKÓW PRAWNYCH ZWIĄZANYCH Z OCHRONĄ ŚRODOWISKA, KTÓRE POWINNY ZOSTAĆ UWZGLĘDNIONE W PROCESIE PLANISTYCZNYM</w:t>
      </w:r>
    </w:p>
    <w:p>
      <w:pPr>
        <w:pStyle w:val="normal1"/>
        <w:spacing w:lineRule="auto" w:line="240" w:before="240" w:after="50"/>
        <w:ind w:hanging="0" w:left="0"/>
        <w:jc w:val="both"/>
        <w:rPr>
          <w:sz w:val="22"/>
          <w:szCs w:val="22"/>
        </w:rPr>
      </w:pPr>
      <w:r>
        <w:rPr>
          <w:sz w:val="22"/>
          <w:szCs w:val="22"/>
        </w:rPr>
        <w:t>1. Obowiązek przeprowadzenia strategicznej oceny oddziaływania na środowisko (SOOŚ)</w:t>
      </w:r>
    </w:p>
    <w:p>
      <w:pPr>
        <w:pStyle w:val="normal1"/>
        <w:spacing w:lineRule="auto" w:line="240" w:before="240" w:after="50"/>
        <w:ind w:hanging="0" w:left="0"/>
        <w:jc w:val="both"/>
        <w:rPr>
          <w:sz w:val="22"/>
          <w:szCs w:val="22"/>
        </w:rPr>
      </w:pPr>
      <w:r>
        <w:rPr>
          <w:sz w:val="22"/>
          <w:szCs w:val="22"/>
        </w:rPr>
        <w:t>Zgodnie z art. 59 ustawy z dnia 3 października 2008 r. o udostępnianiu informacji o środowisku i jego ochronie, udziale społeczeństwa w ochronie środowiska oraz o ocenach oddziaływania na środowisko (tj. Dz.U. z 2024 r. poz. 1112), sporządzenie ZPI wymaga uprzedniego przeprowadzenia strategicznej oceny oddziaływania na środowisko (SOOŚ), o ile inwestycja może znacząco oddziaływać na środowisko. Ocena ta powinna opierać się na aktualnych, kompletnych i rzetelnych danych, w szczególności wynikach inwentaryzacji przyrodniczej. Pominięcie lub marginalizacja wyników takiej inwentaryzacji, dotyczącej występowania siedlisk i gatunków chronionych, może świadczyć o naruszeniu zasady przezorności i ostrożności oraz skutkować wadliwością procedury planistycznej.</w:t>
      </w:r>
    </w:p>
    <w:p>
      <w:pPr>
        <w:pStyle w:val="normal1"/>
        <w:spacing w:lineRule="auto" w:line="240" w:before="240" w:after="50"/>
        <w:ind w:hanging="0" w:left="0"/>
        <w:jc w:val="both"/>
        <w:rPr>
          <w:sz w:val="22"/>
          <w:szCs w:val="22"/>
        </w:rPr>
      </w:pPr>
      <w:r>
        <w:rPr>
          <w:sz w:val="22"/>
          <w:szCs w:val="22"/>
        </w:rPr>
        <w:t>2. Obowiązek ochrony gatunków i siedlisk przyrodniczych</w:t>
      </w:r>
    </w:p>
    <w:p>
      <w:pPr>
        <w:pStyle w:val="normal1"/>
        <w:spacing w:lineRule="auto" w:line="240" w:before="240" w:after="50"/>
        <w:ind w:hanging="0" w:left="0"/>
        <w:jc w:val="both"/>
        <w:rPr>
          <w:sz w:val="22"/>
          <w:szCs w:val="22"/>
        </w:rPr>
      </w:pPr>
      <w:r>
        <w:rPr>
          <w:sz w:val="22"/>
          <w:szCs w:val="22"/>
        </w:rPr>
        <w:t>Górki Czechowskie stanowią jeden z węzłowych obszarów Ekologicznego Systemu Obszarów Chronionych (ESOCh).</w:t>
      </w:r>
    </w:p>
    <w:p>
      <w:pPr>
        <w:pStyle w:val="normal1"/>
        <w:spacing w:lineRule="auto" w:line="240" w:before="240" w:after="50"/>
        <w:ind w:hanging="0" w:left="0"/>
        <w:jc w:val="both"/>
        <w:rPr>
          <w:sz w:val="22"/>
          <w:szCs w:val="22"/>
        </w:rPr>
      </w:pPr>
      <w:r>
        <w:rPr>
          <w:sz w:val="22"/>
          <w:szCs w:val="22"/>
        </w:rPr>
        <w:t>Teren ten obejmuje siedliska wymienione w Załączniku I Dyrektywy Rady 92/43/EWG z dnia 21 maja 1992 r. w sprawie ochrony siedlisk przyrodniczych oraz dzikiej fauny i flory (Dz.Urz.UE.L 1992 Nr 206, str. 7, dalej: dyrektywa siedliskowa), takie jak murawy kserotermiczne (kod 6210), oraz miejsca występowania gatunków z Załącznika II, jak czerwończyk nieparek (1060) i chomik europejski (1339). Oznacza to, że na tym terenie obowiązują te same wymogi ochronne, jakie są przewidziane dla obszarów Natura 2000.  Na tej podstawie, odwołując się do art. 33 ustawy z dnia 16 kwietnia 2004 r. (tj. Dz. U. z 2024 r. poz. 1478), zabrania się podejmowania działań, które mogą istotnie negatywnie wpływać na obszary siedlisk chronionych gatunków roślin i zwierząt, w tym gatunków objętych ochroną ścisłą i wymagających ochrony czynnej, takich jak chomik europejski, jaszczurki czy nietoperze. Działania takie jak zabudowa, utwardzanie nawierzchni, usuwanie darni czy ingerencja w system korzeniowy muszą być poprzedzone rzetelną analizą alternatywnych rozwiązań oraz oceną wpływu tych działań na dobrostan lokalnych populacji.</w:t>
      </w:r>
    </w:p>
    <w:p>
      <w:pPr>
        <w:pStyle w:val="normal1"/>
        <w:spacing w:lineRule="auto" w:line="240" w:before="240" w:after="50"/>
        <w:ind w:hanging="0" w:left="0"/>
        <w:jc w:val="both"/>
        <w:rPr>
          <w:sz w:val="22"/>
          <w:szCs w:val="22"/>
        </w:rPr>
      </w:pPr>
      <w:r>
        <w:rPr>
          <w:sz w:val="22"/>
          <w:szCs w:val="22"/>
        </w:rPr>
        <w:t>3. Zasada unikania i minimalizacji oddziaływań</w:t>
      </w:r>
    </w:p>
    <w:p>
      <w:pPr>
        <w:pStyle w:val="normal1"/>
        <w:spacing w:lineRule="auto" w:line="240" w:before="240" w:after="50"/>
        <w:ind w:hanging="0" w:left="0"/>
        <w:jc w:val="both"/>
        <w:rPr>
          <w:sz w:val="22"/>
          <w:szCs w:val="22"/>
        </w:rPr>
      </w:pPr>
      <w:r>
        <w:rPr>
          <w:sz w:val="22"/>
          <w:szCs w:val="22"/>
        </w:rPr>
        <w:t>Zgodnie z art. 46 w zw. z art. 51 ust. 2 pkt 1 ustawy z dnia 3 października 2008 r. o udostępnianiu informacji o środowisku i jego ochronie (...), projekt zintegrowanego planu inwestycyjnego (ZPI) podlega obowiązkowi przeprowadzenia strategicznej oceny oddziaływania na środowisko (SOOŚ), jeżeli może on wywierać istotny wpływ na środowisko.</w:t>
      </w:r>
    </w:p>
    <w:p>
      <w:pPr>
        <w:pStyle w:val="normal1"/>
        <w:spacing w:lineRule="auto" w:line="240" w:before="240" w:after="50"/>
        <w:ind w:hanging="0" w:left="0"/>
        <w:jc w:val="both"/>
        <w:rPr>
          <w:sz w:val="22"/>
          <w:szCs w:val="22"/>
        </w:rPr>
      </w:pPr>
      <w:r>
        <w:rPr>
          <w:sz w:val="22"/>
          <w:szCs w:val="22"/>
        </w:rPr>
        <w:t>W ramach tej procedury organ opracowujący plan zobowiązany jest do analizy i przedstawienia wariantów, uwzględnienia istniejących wartości przyrodniczych oraz zastosowania rozwiązań minimalizujących negatywne oddziaływanie (art. 51 ust. 2 pkt 3 lit. c i d oraz art. 55 ust. 1 ustawy).</w:t>
      </w:r>
    </w:p>
    <w:p>
      <w:pPr>
        <w:pStyle w:val="normal1"/>
        <w:spacing w:lineRule="auto" w:line="240" w:before="240" w:after="50"/>
        <w:ind w:hanging="0" w:left="0"/>
        <w:jc w:val="both"/>
        <w:rPr>
          <w:sz w:val="22"/>
          <w:szCs w:val="22"/>
        </w:rPr>
      </w:pPr>
      <w:r>
        <w:rPr>
          <w:sz w:val="22"/>
          <w:szCs w:val="22"/>
        </w:rPr>
        <w:t>W odniesieniu do obszarów szczególnie cennych przyrodniczo, takich jak murawy kserotermiczne czy siedliska gatunków chronionych (np. chomik europejski, jaszczurki, nietoperze), zasada unikania i minimalizacji oddziaływań wymaga w pierwszej kolejności takiego projektowania działań, by nie doszło do pogorszenia stanu siedlisk ani utraty funkcji ekologicznych danego terenu.</w:t>
      </w:r>
    </w:p>
    <w:p>
      <w:pPr>
        <w:pStyle w:val="normal1"/>
        <w:spacing w:lineRule="auto" w:line="240" w:before="240" w:after="50"/>
        <w:ind w:hanging="0" w:left="0"/>
        <w:jc w:val="both"/>
        <w:rPr>
          <w:sz w:val="22"/>
          <w:szCs w:val="22"/>
        </w:rPr>
      </w:pPr>
      <w:r>
        <w:rPr>
          <w:sz w:val="22"/>
          <w:szCs w:val="22"/>
        </w:rPr>
        <w:t>Zasada ta ma również oparcie w art. 6 ust. 2 dyrektywy siedliskowej (92/43/EWG), który nakazuje podejmowanie odpowiednich działań w celu zapobieżenia pogorszeniu siedlisk oraz zakłóceniom wpływającym na gatunki chronione – niezależnie od tego, czy obszar podlega ochronie w ramach sieci Natura 2000.</w:t>
      </w:r>
    </w:p>
    <w:p>
      <w:pPr>
        <w:pStyle w:val="normal1"/>
        <w:spacing w:lineRule="auto" w:line="240" w:before="240" w:after="50"/>
        <w:ind w:hanging="0" w:left="0"/>
        <w:jc w:val="both"/>
        <w:rPr>
          <w:sz w:val="22"/>
          <w:szCs w:val="22"/>
        </w:rPr>
      </w:pPr>
      <w:r>
        <w:rPr>
          <w:sz w:val="22"/>
          <w:szCs w:val="22"/>
        </w:rPr>
        <w:t>4. Zasada zrównoważonego rozwoju i interes publiczny</w:t>
      </w:r>
    </w:p>
    <w:p>
      <w:pPr>
        <w:pStyle w:val="normal1"/>
        <w:spacing w:lineRule="auto" w:line="240" w:before="240" w:after="50"/>
        <w:ind w:hanging="0" w:left="0"/>
        <w:jc w:val="both"/>
        <w:rPr>
          <w:sz w:val="22"/>
          <w:szCs w:val="22"/>
        </w:rPr>
      </w:pPr>
      <w:r>
        <w:rPr>
          <w:sz w:val="22"/>
          <w:szCs w:val="22"/>
        </w:rPr>
        <w:t>Zgodnie z art. 1 ust. 2 pkt 1 i 1a ustawy z dnia 27 marca 2003 r. (tj. Dz. U. z 2024 r., poz. 1130) o planowaniu i zagospodarowaniu przestrzennym, proces planistyczny musi uwzględniać wymogi ładu przestrzennego i potrzeby zrównoważonego rozwoju. Ochrona przyrody, zwłaszcza siedlisk i gatunków chronionych, stanowi istotny interes publiczny, który należy uwzględnić w równoważeniu interesów inwestorów oraz ochrony środowiska, a nie traktować jako przeszkodę nie do pokonania.</w:t>
      </w:r>
    </w:p>
    <w:p>
      <w:pPr>
        <w:pStyle w:val="normal1"/>
        <w:spacing w:lineRule="auto" w:line="240" w:before="240" w:after="50"/>
        <w:ind w:hanging="0" w:left="0"/>
        <w:jc w:val="both"/>
        <w:rPr>
          <w:sz w:val="22"/>
          <w:szCs w:val="22"/>
        </w:rPr>
      </w:pPr>
      <w:r>
        <w:rPr>
          <w:sz w:val="22"/>
          <w:szCs w:val="22"/>
        </w:rPr>
        <w:t>5. Wątpliwości co do zgodności z polityką klimatyczną i środowiskową</w:t>
      </w:r>
    </w:p>
    <w:p>
      <w:pPr>
        <w:pStyle w:val="normal1"/>
        <w:spacing w:lineRule="auto" w:line="240" w:before="240" w:after="50"/>
        <w:ind w:hanging="0" w:left="0"/>
        <w:jc w:val="both"/>
        <w:rPr>
          <w:sz w:val="22"/>
          <w:szCs w:val="22"/>
        </w:rPr>
      </w:pPr>
      <w:r>
        <w:rPr>
          <w:sz w:val="22"/>
          <w:szCs w:val="22"/>
        </w:rPr>
        <w:t>Realizacja intensywnej urbanizacji i przekształcenie cennych siedlisk stoi w sprzeczności z krajowymi i unijnymi celami polityki klimatycznej i ochrony środowiska, w tym z Europejskim Zielonym Ładem oraz Strategią Bioróżnorodności UE 2030. Pomijanie tych zobowiązań może skutkować naruszeniem zasady spójności działań administracji publicznej z międzynarodowymi zobowiązaniami Polski.</w:t>
      </w:r>
    </w:p>
    <w:p>
      <w:pPr>
        <w:pStyle w:val="normal1"/>
        <w:spacing w:lineRule="auto" w:line="240" w:before="240" w:after="50"/>
        <w:ind w:hanging="0"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 związku z powyższym apelujemy o:</w:t>
      </w:r>
    </w:p>
    <w:p>
      <w:pPr>
        <w:pStyle w:val="normal1"/>
        <w:numPr>
          <w:ilvl w:val="0"/>
          <w:numId w:val="3"/>
        </w:numPr>
        <w:spacing w:lineRule="auto" w:line="240" w:before="240" w:afterAutospacing="0" w:after="0"/>
        <w:ind w:hanging="360" w:left="72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>rzetelne i kompleksowe przeprowadzenie strategicznej oceny oddziaływania na środowisko dla ZPI,</w:t>
      </w:r>
    </w:p>
    <w:p>
      <w:pPr>
        <w:pStyle w:val="normal1"/>
        <w:numPr>
          <w:ilvl w:val="0"/>
          <w:numId w:val="3"/>
        </w:numPr>
        <w:spacing w:lineRule="auto" w:line="240" w:beforeAutospacing="0" w:before="0" w:afterAutospacing="0" w:after="0"/>
        <w:ind w:hanging="360" w:left="72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>szczególne uwzględnienie wyników inwentaryzacji przyrodniczej oraz pełną ochronę siedlisk i gatunków chronionych,</w:t>
      </w:r>
    </w:p>
    <w:p>
      <w:pPr>
        <w:pStyle w:val="normal1"/>
        <w:numPr>
          <w:ilvl w:val="0"/>
          <w:numId w:val="3"/>
        </w:numPr>
        <w:spacing w:lineRule="auto" w:line="240" w:beforeAutospacing="0" w:before="0" w:afterAutospacing="0" w:after="0"/>
        <w:ind w:hanging="360" w:left="72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>stosowanie zasady unikania i minimalizacji negatywnego oddziaływania na środowisko,</w:t>
      </w:r>
    </w:p>
    <w:p>
      <w:pPr>
        <w:pStyle w:val="normal1"/>
        <w:numPr>
          <w:ilvl w:val="0"/>
          <w:numId w:val="3"/>
        </w:numPr>
        <w:spacing w:lineRule="auto" w:line="240" w:beforeAutospacing="0" w:before="0" w:afterAutospacing="0" w:after="0"/>
        <w:ind w:hanging="360" w:left="72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>respektowanie zasady zrównoważonego rozwoju jako fundamentu planowania przestrzennego,</w:t>
      </w:r>
    </w:p>
    <w:p>
      <w:pPr>
        <w:pStyle w:val="normal1"/>
        <w:numPr>
          <w:ilvl w:val="0"/>
          <w:numId w:val="3"/>
        </w:numPr>
        <w:spacing w:lineRule="auto" w:line="240" w:beforeAutospacing="0" w:before="0" w:after="50"/>
        <w:ind w:hanging="360" w:left="720"/>
        <w:jc w:val="both"/>
        <w:rPr>
          <w:sz w:val="22"/>
          <w:szCs w:val="22"/>
          <w:u w:val="none"/>
        </w:rPr>
      </w:pPr>
      <w:r>
        <w:rPr>
          <w:sz w:val="22"/>
          <w:szCs w:val="22"/>
        </w:rPr>
        <w:t>zapewnienie zgodności planowanych inwestycji z krajową i unijną polityką ochrony środowiska i klimatu.</w:t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uto" w:line="240" w:before="240" w:after="5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uto" w:line="240" w:before="240" w:after="50"/>
        <w:jc w:val="both"/>
        <w:rPr>
          <w:sz w:val="2"/>
          <w:szCs w:val="2"/>
        </w:rPr>
      </w:pPr>
      <w:r>
        <w:rPr>
          <w:sz w:val="2"/>
          <w:szCs w:val="2"/>
        </w:rPr>
      </w:r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080" w:right="1080" w:gutter="0" w:header="0" w:top="993" w:footer="0" w:bottom="1440"/>
      <w:pgNumType w:start="1"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MS Gothic"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50" w:after="5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Style w:val="Znakiprzypiswdolnych"/>
        </w:rPr>
        <w:footnoteRef/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sz w:val="16"/>
          <w:szCs w:val="16"/>
          <w:u w:val="none"/>
          <w:shd w:fill="auto" w:val="clear"/>
          <w:vertAlign w:val="superscript"/>
        </w:rPr>
        <w:t xml:space="preserve">)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</w:footnote>
  <w:footnote w:id="3"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50" w:after="5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Style w:val="Znakiprzypiswdolnych"/>
        </w:rPr>
        <w:footnoteRef/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sz w:val="16"/>
          <w:szCs w:val="16"/>
          <w:u w:val="none"/>
          <w:shd w:fill="auto" w:val="clear"/>
          <w:vertAlign w:val="superscript"/>
        </w:rPr>
        <w:t>)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shd w:fill="auto" w:val="clear"/>
          <w:vertAlign w:val="superscript"/>
        </w:rPr>
        <w:t xml:space="preserve">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Nie dotyczy planu zagospodarowania przestrzennego województwa.</w:t>
      </w:r>
    </w:p>
  </w:footnote>
  <w:footnote w:id="4"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50" w:after="5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Style w:val="Znakiprzypiswdolnych"/>
        </w:rPr>
        <w:footnoteRef/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sz w:val="16"/>
          <w:szCs w:val="16"/>
          <w:u w:val="none"/>
          <w:shd w:fill="auto" w:val="clear"/>
          <w:vertAlign w:val="superscript"/>
        </w:rPr>
        <w:t>)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Nie dotyczy planu zagospodarowania przestrzennego województwa i audytu krajobrazowego.</w:t>
      </w:r>
    </w:p>
  </w:footnote>
  <w:footnote w:id="5"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Style w:val="Znakiprzypiswdolnych"/>
        </w:rPr>
        <w:footnoteRef/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sz w:val="16"/>
          <w:szCs w:val="16"/>
          <w:u w:val="none"/>
          <w:shd w:fill="auto" w:val="clear"/>
          <w:vertAlign w:val="superscript"/>
        </w:rPr>
        <w:t>)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</w:t>
      </w:r>
    </w:p>
  </w:footnote>
  <w:footnote w:id="6"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Style w:val="Znakiprzypiswdolnych"/>
        </w:rPr>
        <w:footnoteRef/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sz w:val="16"/>
          <w:szCs w:val="16"/>
          <w:u w:val="none"/>
          <w:shd w:fill="auto" w:val="clear"/>
          <w:vertAlign w:val="superscript"/>
        </w:rPr>
        <w:t>)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 Adres skrytki ePUAP lub adres do doręczeń elektronicznych wskazuje się w przypadku wyrażenia zgody na doręczanie korespondencji za pomocą środków komunikacji elektronicznej, z zastrzeżeniem przypadków, w których organ, zgodnie z przepisami ustawy z dnia 18 listopada 2020 r. o doręczeniach elektronicznych (Dz. U. z 2023 r. poz. 285, z późn. zm.), ma obowiązek doręczenia korespondencji na adres do doręczeń elektronicznych.</w:t>
      </w:r>
    </w:p>
  </w:footnote>
  <w:footnote w:id="7"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Style w:val="Znakiprzypiswdolnych"/>
        </w:rPr>
        <w:footnoteRef/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sz w:val="16"/>
          <w:szCs w:val="16"/>
          <w:u w:val="none"/>
          <w:shd w:fill="auto" w:val="clear"/>
          <w:vertAlign w:val="superscript"/>
        </w:rPr>
        <w:t>)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 Maksymalna liczba znaków w pkt 7.1. wynosi 1000, natomiast w przypadku pkt 7.2.4. wartość ta odnosi się do pojedynczego wiersza. W 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</w:t>
      </w:r>
    </w:p>
  </w:footnote>
  <w:footnote w:id="8"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50" w:after="5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Style w:val="Znakiprzypiswdolnych"/>
        </w:rPr>
        <w:footnoteRef/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sz w:val="16"/>
          <w:szCs w:val="16"/>
          <w:u w:val="none"/>
          <w:shd w:fill="auto" w:val="clear"/>
          <w:vertAlign w:val="superscript"/>
        </w:rPr>
        <w:t>)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W przypadku zaznaczenia pola „nie” (wskazania terenu objętego pismem jako części działki ewidencyjnej lub działek ewidencyjnych) można dodać załącznik z określeniem granic terenu w formie graficznej.</w:t>
      </w:r>
    </w:p>
  </w:footnote>
  <w:footnote w:id="9"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Style w:val="Znakiprzypiswdolnych"/>
        </w:rPr>
        <w:footnoteRef/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sz w:val="16"/>
          <w:szCs w:val="16"/>
          <w:u w:val="none"/>
          <w:shd w:fill="auto" w:val="clear"/>
          <w:vertAlign w:val="superscript"/>
        </w:rPr>
        <w:t>)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 Podaje się nazwę lub symbol klasy przeznaczenia terenu zgodnie ze standardami określonymi w przepisach wykonawczych wydanych na podstawie art. 16 ust. 2 ustawy z dnia 27 marca 2003 r. o planowaniu i zagospodarowaniu przestrzennym (Dz. U. z 2023 r. poz. 977, z późn. zm.). </w:t>
      </w:r>
    </w:p>
  </w:footnote>
  <w:footnote w:id="10"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50" w:after="5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Style w:val="Znakiprzypiswdolnych"/>
        </w:rPr>
        <w:footnoteRef/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sz w:val="16"/>
          <w:szCs w:val="16"/>
          <w:u w:val="none"/>
          <w:shd w:fill="auto" w:val="clear"/>
          <w:vertAlign w:val="superscript"/>
        </w:rPr>
        <w:t xml:space="preserve">)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W przypadku dołączenia do pisma załączników zawierających dane osobowe, inne niż wymienione w pkt 4, 5 i 6, załączniki te należy zanonimizować, tj. ukryć dane osobowe.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50" w:after="5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50" w:after="5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shd w:val="clear" w:fill="auto"/>
      <w:spacing w:lineRule="auto" w:line="240" w:before="0" w:after="0"/>
      <w:ind w:hanging="0" w:left="0" w:right="0"/>
      <w:jc w:val="righ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0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3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lineRule="auto" w:line="240" w:before="50" w:after="50"/>
      <w:jc w:val="left"/>
    </w:pPr>
    <w:rPr>
      <w:rFonts w:ascii="Arial" w:hAnsi="Arial" w:eastAsia="Arial" w:cs="Arial"/>
      <w:color w:val="auto"/>
      <w:kern w:val="0"/>
      <w:sz w:val="20"/>
      <w:szCs w:val="20"/>
      <w:lang w:val="pl-PL" w:eastAsia="zh-CN" w:bidi="hi-IN"/>
    </w:rPr>
  </w:style>
  <w:style w:type="paragraph" w:styleId="Heading1">
    <w:name w:val="Heading 1"/>
    <w:basedOn w:val="normal1"/>
    <w:next w:val="normal1"/>
    <w:qFormat/>
    <w:pPr>
      <w:widowControl/>
      <w:shd w:val="clear" w:fill="D9D9D9"/>
      <w:spacing w:lineRule="auto" w:line="276" w:before="120" w:after="50"/>
      <w:jc w:val="center"/>
    </w:pPr>
    <w:rPr>
      <w:rFonts w:ascii="Arial" w:hAnsi="Arial" w:eastAsia="Arial" w:cs="Arial"/>
      <w:b/>
      <w:color w:val="000000"/>
      <w:sz w:val="28"/>
      <w:szCs w:val="28"/>
    </w:rPr>
  </w:style>
  <w:style w:type="paragraph" w:styleId="Heading2">
    <w:name w:val="Heading 2"/>
    <w:basedOn w:val="normal1"/>
    <w:next w:val="normal1"/>
    <w:qFormat/>
    <w:pPr>
      <w:keepNext w:val="false"/>
      <w:keepLines w:val="false"/>
      <w:pageBreakBefore w:val="false"/>
      <w:widowControl/>
      <w:shd w:val="clear" w:fill="D9D9D9"/>
      <w:spacing w:lineRule="auto" w:line="240" w:before="100" w:after="60"/>
      <w:ind w:hanging="113" w:left="113" w:right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1"/>
    <w:next w:val="normal1"/>
    <w:qFormat/>
    <w:pPr>
      <w:keepNext w:val="false"/>
      <w:keepLines w:val="false"/>
      <w:pageBreakBefore w:val="false"/>
      <w:widowControl/>
      <w:shd w:val="clear" w:fill="D9D9D9"/>
      <w:spacing w:lineRule="auto" w:line="240" w:before="100" w:after="60"/>
      <w:ind w:hanging="431" w:left="431" w:right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paragraph" w:styleId="Heading4">
    <w:name w:val="Heading 4"/>
    <w:basedOn w:val="normal1"/>
    <w:next w:val="normal1"/>
    <w:qFormat/>
    <w:pPr>
      <w:keepNext w:val="false"/>
      <w:keepLines w:val="false"/>
      <w:pageBreakBefore w:val="false"/>
      <w:widowControl/>
      <w:shd w:val="clear" w:fill="D9D9D9"/>
      <w:spacing w:lineRule="auto" w:line="240" w:before="100" w:after="60"/>
      <w:ind w:hanging="431" w:left="431" w:right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16"/>
      <w:sz w:val="16"/>
      <w:szCs w:val="16"/>
      <w:u w:val="none"/>
      <w:shd w:fill="auto" w:val="clear"/>
      <w:vertAlign w:val="baseline"/>
    </w:rPr>
  </w:style>
  <w:style w:type="paragraph" w:styleId="Heading5">
    <w:name w:val="Heading 5"/>
    <w:basedOn w:val="normal1"/>
    <w:next w:val="normal1"/>
    <w:qFormat/>
    <w:pPr>
      <w:keepNext w:val="false"/>
      <w:keepLines w:val="false"/>
      <w:pageBreakBefore w:val="false"/>
      <w:widowControl/>
      <w:shd w:val="clear" w:fill="auto"/>
      <w:spacing w:lineRule="auto" w:line="240" w:before="60" w:after="60"/>
      <w:ind w:hanging="360" w:left="360" w:right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1"/>
    <w:next w:val="normal1"/>
    <w:qFormat/>
    <w:pPr>
      <w:keepNext w:val="false"/>
      <w:keepLines w:val="false"/>
      <w:pageBreakBefore w:val="false"/>
      <w:widowControl/>
      <w:shd w:val="clear" w:fill="auto"/>
      <w:spacing w:lineRule="auto" w:line="240" w:before="60" w:after="60"/>
      <w:ind w:hanging="432" w:left="716" w:right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Znakiprzypiswdolnych">
    <w:name w:val="Znaki przypisów dolnych"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 w:val="false"/>
      <w:suppressAutoHyphens w:val="true"/>
      <w:bidi w:val="0"/>
      <w:spacing w:lineRule="auto" w:line="240" w:before="50" w:after="50"/>
      <w:jc w:val="left"/>
    </w:pPr>
    <w:rPr>
      <w:rFonts w:ascii="Arial" w:hAnsi="Arial" w:eastAsia="Arial" w:cs="Arial"/>
      <w:color w:val="auto"/>
      <w:kern w:val="0"/>
      <w:sz w:val="20"/>
      <w:szCs w:val="20"/>
      <w:lang w:val="pl-PL" w:eastAsia="zh-CN" w:bidi="hi-IN"/>
    </w:rPr>
  </w:style>
  <w:style w:type="paragraph" w:styleId="Title">
    <w:name w:val="Title"/>
    <w:basedOn w:val="normal1"/>
    <w:next w:val="normal1"/>
    <w:qFormat/>
    <w:pPr>
      <w:spacing w:lineRule="auto" w:line="240" w:before="360" w:after="50"/>
      <w:jc w:val="right"/>
    </w:pPr>
    <w:rPr>
      <w:sz w:val="20"/>
      <w:szCs w:val="20"/>
    </w:rPr>
  </w:style>
  <w:style w:type="paragraph" w:styleId="Subtitle">
    <w:name w:val="Subtitle"/>
    <w:basedOn w:val="normal1"/>
    <w:next w:val="normal1"/>
    <w:qFormat/>
    <w:pPr>
      <w:keepNext w:val="false"/>
      <w:keepLines w:val="false"/>
      <w:pageBreakBefore w:val="false"/>
      <w:widowControl/>
      <w:shd w:val="clear" w:fill="auto"/>
      <w:spacing w:lineRule="auto" w:line="240" w:before="60" w:after="60"/>
      <w:ind w:hanging="431" w:left="431" w:right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paragraph" w:styleId="FootnoteText">
    <w:name w:val="Footnote Text"/>
    <w:basedOn w:val="Normal"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Gwkaistopka"/>
    <w:pPr/>
    <w:rPr/>
  </w:style>
  <w:style w:type="table" w:default="1" w:styleId="TableNormal">
    <w:name w:val="Table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5ohxHnRl77rctWPB3yoXC2SO66A==">CgMxLjAyDmgueGkzaXpxdG5pZGRnMg5oLnFna2JzdWJlOWNxYzIOaC5jcG05d210N3M0dGgyDmgucXdicWhydWhpdjYxMg5oLmw1dDBxNmowZmFsMTIOaC5lbWowY29pMWN1dWYyDmguNTRpMHl1dGIxZHMwMg5oLjNlNWRvamwwMXA5bzIOaC5uZXdoY3BoMjVtaWIyDmgueDNoczY5c2V4ZGwwMg5oLjhibDVmdHgxdDZpZTIOaC5sMnJmem5jd3RmOTMyDmguNHE5OWoxNzk3OGVzMg5oLnZkNHFxcXFwMGx0dTIOaC5ydDRtdWI2cDFqczgyDmguNzFyYjJnbWhwZTJlMg5oLmVldnkweHBqbGFmZjgAciExMTQ5OFlzMzd3WTNrVFFsc2JEVUU3ZjRVQ2czMll5e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LibreOffice/24.2.4.2$Windows_X86_64 LibreOffice_project/51a6219feb6075d9a4c46691dcfe0cd9c4fff3c2</Application>
  <AppVersion>15.0000</AppVersion>
  <Pages>13</Pages>
  <Words>5268</Words>
  <Characters>35006</Characters>
  <CharactersWithSpaces>40039</CharactersWithSpaces>
  <Paragraphs>281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2025-07-10T21:33:50Z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