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ascii="Times New Roman" w:hAnsi="Times New Roman"/>
          <w:sz w:val="28"/>
          <w:szCs w:val="28"/>
        </w:rPr>
        <w:t xml:space="preserve">Dnia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.2024 r. 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/2024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Głównego Sądu Koleżeńskiego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Główny Sąd Koleżeński w składzie: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1. Beata Pawlik – przewodnicząca,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Halina Kantor – zastępczyni przewodniczącej,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3. </w:t>
      </w:r>
      <w:bookmarkStart w:id="0" w:name="__DdeLink__1_3889213962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Piotr Kuropatwiński </w:t>
      </w:r>
      <w:bookmarkEnd w:id="0"/>
      <w:r>
        <w:rPr>
          <w:rFonts w:ascii="Times New Roman" w:hAnsi="Times New Roman"/>
          <w:b w:val="false"/>
          <w:bCs w:val="false"/>
          <w:sz w:val="28"/>
          <w:szCs w:val="28"/>
        </w:rPr>
        <w:t>– sekretarz,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 Stanisław Dembowski – członek,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 Danuta Kasperska – członkini,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6. Anna Kowalczyk-Derlęga – członkini,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7. Bożena Sołtysik – członkini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działając na podstawie § 41 ust. 3 Statutu Stowarzyszenia Komitet Obrony Demokracji wprowadza w regulaminie GSK następującą zmianę.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W celu doprowadzenia regulaminu GSK i RSK do zgodności ze statutem wprowadza się w Regulaminie Głównego Sądu Koleżeńskiego i w Regulaminie Regionalnych Sądów Koleżeńskich następującą zmianę: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w art. 60 p.2  w miejsce „</w:t>
      </w:r>
      <w:r>
        <w:rPr>
          <w:rFonts w:ascii="Times New Roman" w:hAnsi="Times New Roman"/>
          <w:b/>
          <w:bCs/>
          <w:sz w:val="28"/>
          <w:szCs w:val="28"/>
        </w:rPr>
        <w:t xml:space="preserve">21 (dwudziestu jeden) dni”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wprowadza się 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„</w:t>
      </w:r>
      <w:r>
        <w:rPr>
          <w:rFonts w:ascii="Times New Roman" w:hAnsi="Times New Roman"/>
          <w:b/>
          <w:bCs/>
          <w:sz w:val="28"/>
          <w:szCs w:val="28"/>
        </w:rPr>
        <w:t>30 (trzydziestu) dni”.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/>
          <w:bCs/>
          <w:u w:val="none"/>
        </w:rPr>
      </w:pPr>
      <w:r>
        <w:rPr>
          <w:rFonts w:ascii="Times New Roman" w:hAnsi="Times New Roman"/>
          <w:b/>
          <w:bCs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Przewodnicząca:                                                           Sekretarz:</w:t>
      </w:r>
    </w:p>
    <w:p>
      <w:pPr>
        <w:pStyle w:val="Normal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 xml:space="preserve">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 xml:space="preserve">                                        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Beata Pawlik                                                    Piotr Kuropatwiński                  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LibreOffice/24.2.5.2$Windows_X86_64 LibreOffice_project/bffef4ea93e59bebbeaf7f431bb02b1a39ee8a59</Application>
  <AppVersion>15.0000</AppVersion>
  <Pages>1</Pages>
  <Words>108</Words>
  <Characters>711</Characters>
  <CharactersWithSpaces>1066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2023-01-27T14:56:27Z</dcterms:created>
  <dc:creator/>
  <dc:description/>
  <dc:language>pl-PL</dc:language>
  <cp:lastModifiedBy/>
  <dcterms:modified xsi:type="dcterms:W3CDTF">2024-09-08T10:15:38Z</dcterms:modified>
  <cp:revision>14</cp:revision>
  <dc:subject/>
  <dc:title/>
</cp:coreProperties>
</file>